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42464A">
        <w:rPr>
          <w:rFonts w:ascii="Times New Roman" w:hAnsi="Times New Roman"/>
          <w:color w:val="000000"/>
          <w:sz w:val="28"/>
          <w:szCs w:val="28"/>
          <w:lang w:val="kk-KZ"/>
        </w:rPr>
        <w:t>ЖАЛПЫ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proofErr w:type="gramStart"/>
            <w:r>
              <w:rPr>
                <w:rFonts w:ascii="Times New Roman" w:hAnsi="Times New Roman" w:cs="Times New Roman"/>
                <w:b/>
                <w:sz w:val="28"/>
                <w:szCs w:val="28"/>
                <w:lang w:val="kk-KZ"/>
              </w:rPr>
              <w:t>В</w:t>
            </w:r>
            <w:proofErr w:type="gramEnd"/>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1B2933">
        <w:rPr>
          <w:rFonts w:ascii="KZ Times New Roman" w:hAnsi="KZ Times New Roman"/>
          <w:sz w:val="28"/>
          <w:szCs w:val="28"/>
          <w:lang w:val="kk-KZ"/>
        </w:rPr>
        <w:t>Б</w:t>
      </w:r>
      <w:r w:rsidR="00546760" w:rsidRPr="001B2933">
        <w:rPr>
          <w:rFonts w:ascii="Times New Roman" w:hAnsi="Times New Roman" w:cs="Times New Roman"/>
          <w:color w:val="000000"/>
          <w:sz w:val="28"/>
          <w:szCs w:val="28"/>
          <w:lang w:val="kk-KZ"/>
        </w:rPr>
        <w:t xml:space="preserve">өлімнің </w:t>
      </w:r>
      <w:r w:rsidR="00546760" w:rsidRPr="001B2933">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1B2933">
        <w:rPr>
          <w:rFonts w:ascii="Times New Roman" w:hAnsi="Times New Roman" w:cs="Times New Roman"/>
          <w:sz w:val="28"/>
          <w:szCs w:val="28"/>
          <w:lang w:val="kk-KZ"/>
        </w:rPr>
        <w:t xml:space="preserve"> </w:t>
      </w:r>
      <w:r w:rsidR="00E3736B"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54324D" w:rsidRPr="0054324D" w:rsidRDefault="002A4CE2" w:rsidP="0054324D">
      <w:pPr>
        <w:ind w:right="178"/>
        <w:jc w:val="both"/>
        <w:rPr>
          <w:rFonts w:ascii="Times New Roman" w:hAnsi="Times New Roman" w:cs="Times New Roman"/>
          <w:b/>
          <w:i/>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0054324D" w:rsidRPr="0054324D">
        <w:rPr>
          <w:rFonts w:ascii="Times New Roman" w:hAnsi="Times New Roman" w:cs="Times New Roman"/>
          <w:b/>
          <w:sz w:val="28"/>
          <w:szCs w:val="28"/>
          <w:lang w:val="kk-KZ"/>
        </w:rPr>
        <w:t xml:space="preserve">Конкурсқа қатысушыларға қойылатын талаптар: </w:t>
      </w:r>
      <w:r w:rsidR="0054324D"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0054324D"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2464A">
        <w:rPr>
          <w:rFonts w:ascii="Times New Roman" w:hAnsi="Times New Roman" w:cs="Times New Roman"/>
          <w:b/>
          <w:sz w:val="28"/>
          <w:szCs w:val="28"/>
          <w:lang w:val="kk-KZ"/>
        </w:rPr>
        <w:t>7</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w:t>
      </w:r>
      <w:r>
        <w:rPr>
          <w:rFonts w:ascii="Times New Roman" w:hAnsi="Times New Roman" w:cs="Times New Roman"/>
          <w:sz w:val="28"/>
          <w:szCs w:val="28"/>
          <w:lang w:val="kk-KZ"/>
        </w:rPr>
        <w:lastRenderedPageBreak/>
        <w:t>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42464A"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5AB9"/>
    <w:rsid w:val="003A4E10"/>
    <w:rsid w:val="003A59B5"/>
    <w:rsid w:val="003A7488"/>
    <w:rsid w:val="003B2AC3"/>
    <w:rsid w:val="003B4C1C"/>
    <w:rsid w:val="003C78CD"/>
    <w:rsid w:val="003D52FD"/>
    <w:rsid w:val="003E12C1"/>
    <w:rsid w:val="003F563C"/>
    <w:rsid w:val="0042464A"/>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B23"/>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6</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254</cp:revision>
  <cp:lastPrinted>2019-09-12T10:06:00Z</cp:lastPrinted>
  <dcterms:created xsi:type="dcterms:W3CDTF">2018-03-14T12:19:00Z</dcterms:created>
  <dcterms:modified xsi:type="dcterms:W3CDTF">2023-02-20T04:52:00Z</dcterms:modified>
</cp:coreProperties>
</file>