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F0" w:rsidRPr="00A13330" w:rsidRDefault="00BE17F0" w:rsidP="00621759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Управление государственных доходов по </w:t>
      </w:r>
      <w:r w:rsidR="008F0311"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Сузакскому </w:t>
      </w:r>
      <w:r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A133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объявляет внутренний конкурс 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среди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служащих данного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государственнего органа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>для занятия вакантной административной государственной должности корпуса «Б»</w:t>
      </w:r>
    </w:p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7F0" w:rsidRPr="00A13330" w:rsidRDefault="00BE17F0" w:rsidP="00BD4559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b/>
          <w:sz w:val="24"/>
          <w:szCs w:val="24"/>
        </w:rPr>
        <w:t>Общие квалификационные требования ко  всем участникам конкурс</w:t>
      </w:r>
      <w:r w:rsidR="002B573F" w:rsidRPr="00A13330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Pr="00A1333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z256"/>
      <w:bookmarkEnd w:id="0"/>
      <w:r w:rsidRPr="00A13330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 </w:t>
      </w:r>
    </w:p>
    <w:p w:rsidR="00BD4559" w:rsidRPr="00BD4559" w:rsidRDefault="00BD4559" w:rsidP="00BD45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59">
        <w:rPr>
          <w:rFonts w:ascii="Times New Roman" w:hAnsi="Times New Roman" w:cs="Times New Roman"/>
          <w:b/>
          <w:sz w:val="24"/>
          <w:szCs w:val="24"/>
          <w:lang w:val="kk-KZ"/>
        </w:rPr>
        <w:t>Для категории</w:t>
      </w:r>
      <w:r w:rsidRPr="00BD4559">
        <w:rPr>
          <w:rFonts w:ascii="Times New Roman" w:hAnsi="Times New Roman" w:cs="Times New Roman"/>
          <w:b/>
          <w:sz w:val="24"/>
          <w:szCs w:val="24"/>
        </w:rPr>
        <w:t xml:space="preserve"> С-</w:t>
      </w:r>
      <w:r w:rsidRPr="00BD455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D455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BD4559">
        <w:rPr>
          <w:rFonts w:ascii="Times New Roman" w:hAnsi="Times New Roman" w:cs="Times New Roman"/>
          <w:b/>
          <w:sz w:val="24"/>
          <w:szCs w:val="24"/>
        </w:rPr>
        <w:t>4 устанавливаются следующие требования</w:t>
      </w:r>
      <w:r w:rsidRPr="00BD455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D4559">
        <w:rPr>
          <w:rFonts w:ascii="Times New Roman" w:hAnsi="Times New Roman" w:cs="Times New Roman"/>
          <w:b/>
          <w:sz w:val="24"/>
          <w:szCs w:val="24"/>
        </w:rPr>
        <w:t> </w:t>
      </w:r>
    </w:p>
    <w:p w:rsidR="00BD4559" w:rsidRPr="00BD4559" w:rsidRDefault="00BD4559" w:rsidP="00BD45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при наличии высшего или послевузовского образования стаж работы не требуется;</w:t>
      </w:r>
      <w:r w:rsidRPr="00BD4559">
        <w:rPr>
          <w:rFonts w:ascii="Times New Roman" w:hAnsi="Times New Roman" w:cs="Times New Roman"/>
          <w:sz w:val="24"/>
          <w:szCs w:val="24"/>
        </w:rPr>
        <w:tab/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D455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13330" w:rsidRPr="00A13330" w:rsidRDefault="00BD4559" w:rsidP="00BD45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D4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допускается послесреднее или техническое и прфессиональное образование при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4559"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  <w:lang w:val="kk-KZ"/>
        </w:rPr>
        <w:t>стаж работы не менее одного года.</w:t>
      </w:r>
    </w:p>
    <w:p w:rsidR="00BE17F0" w:rsidRPr="00A13330" w:rsidRDefault="00A13330" w:rsidP="00BD4559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hAnsi="Times New Roman" w:cs="Times New Roman"/>
          <w:sz w:val="24"/>
          <w:szCs w:val="24"/>
        </w:rPr>
        <w:tab/>
      </w:r>
      <w:r w:rsidR="00BE17F0" w:rsidRPr="00A13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A1333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72792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BE17F0" w:rsidRPr="00A1333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BE17F0" w:rsidRPr="00A1333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  <w:r w:rsidR="002B573F"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(А 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A1333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A133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226837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A1333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A133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260564</w:t>
            </w:r>
          </w:p>
        </w:tc>
      </w:tr>
    </w:tbl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 xml:space="preserve">  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FF5915" w:rsidRPr="00A13330" w:rsidRDefault="00FF5915" w:rsidP="002B5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Р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ГУ «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Управление государственных доходов по Сузакскому району Д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епартамент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а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государственных доходов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омитета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государственных доходов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финансов Республики Казахстан»,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161000, Туркестанская область,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Сузакский район,</w:t>
      </w:r>
      <w:r w:rsidR="00AE613B" w:rsidRPr="00AE613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с.</w:t>
      </w:r>
      <w:r w:rsidR="00621EDA" w:rsidRPr="00621E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Шолаққорған</w:t>
      </w:r>
      <w:r w:rsidR="00AE613B" w:rsidRPr="00A1333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№30</w:t>
      </w:r>
      <w:r w:rsidR="00997C2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2-этаж,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8(72546) 4-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11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-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25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, электронный адрес:</w:t>
      </w:r>
      <w:r w:rsidR="005635C3"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a</w:t>
        </w:r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utebaeva</w:t>
        </w:r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val="kk-KZ" w:eastAsia="ar-SA"/>
          </w:rPr>
          <w:t>@kgd.gov.kz</w:t>
        </w:r>
      </w:hyperlink>
      <w:r w:rsidR="002B573F" w:rsidRPr="00A13330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объявляет </w:t>
      </w:r>
      <w:r w:rsidRPr="00A13330">
        <w:rPr>
          <w:rFonts w:ascii="Times New Roman" w:hAnsi="Times New Roman" w:cs="Times New Roman"/>
          <w:sz w:val="24"/>
          <w:szCs w:val="24"/>
        </w:rPr>
        <w:t>внутренний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конкурс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на занятие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вакантн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административн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государственн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должност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и</w:t>
      </w:r>
      <w:r w:rsidR="002B573F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корпуса «</w:t>
      </w:r>
      <w:r w:rsidR="00AE613B">
        <w:rPr>
          <w:rFonts w:ascii="Times New Roman" w:hAnsi="Times New Roman" w:cs="Times New Roman"/>
          <w:sz w:val="24"/>
          <w:szCs w:val="24"/>
          <w:lang w:val="kk-KZ" w:eastAsia="ar-SA"/>
        </w:rPr>
        <w:t>Б</w:t>
      </w:r>
      <w:r w:rsidR="002B573F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»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FF5915" w:rsidRPr="00F22555" w:rsidRDefault="00FF5915" w:rsidP="00670A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555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отдела </w:t>
      </w:r>
      <w:r w:rsidR="005635C3" w:rsidRPr="00F22555">
        <w:rPr>
          <w:rFonts w:ascii="Times New Roman" w:hAnsi="Times New Roman" w:cs="Times New Roman"/>
          <w:b/>
          <w:sz w:val="24"/>
          <w:szCs w:val="24"/>
          <w:lang w:val="kk-KZ"/>
        </w:rPr>
        <w:t>по работе с налогоплательщиками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временно на период отпуска по уходу за ребенком основного работника до </w:t>
      </w:r>
      <w:r w:rsidR="001C6D0A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5173F" w:rsidRPr="00F2255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1C6D0A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B6D18" w:rsidRPr="00F22555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1C6D0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B6D18"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(основной работник вправе выйти на работу до истечение этого срока, предупредив работодателя о своем намер</w:t>
      </w:r>
      <w:r w:rsidR="00F845CC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3B6D18"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нии за месяц до начала работы), </w:t>
      </w:r>
      <w:r w:rsidR="0015173F" w:rsidRPr="00F22555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</w:r>
      <w:proofErr w:type="gramEnd"/>
    </w:p>
    <w:p w:rsidR="00F3351D" w:rsidRPr="00B01F2F" w:rsidRDefault="00FF5915" w:rsidP="00670A99">
      <w:pPr>
        <w:pStyle w:val="5"/>
        <w:spacing w:after="0" w:afterAutospacing="0"/>
        <w:ind w:firstLine="567"/>
        <w:jc w:val="both"/>
        <w:rPr>
          <w:b w:val="0"/>
          <w:sz w:val="24"/>
          <w:szCs w:val="24"/>
        </w:rPr>
      </w:pPr>
      <w:r w:rsidRPr="00A13330">
        <w:rPr>
          <w:rFonts w:eastAsia="Calibri"/>
          <w:sz w:val="24"/>
          <w:szCs w:val="24"/>
        </w:rPr>
        <w:t>Функциональные</w:t>
      </w:r>
      <w:r w:rsidR="00BE17F0" w:rsidRPr="00A13330">
        <w:rPr>
          <w:sz w:val="24"/>
          <w:szCs w:val="24"/>
        </w:rPr>
        <w:t xml:space="preserve"> </w:t>
      </w:r>
      <w:r w:rsidRPr="00A13330">
        <w:rPr>
          <w:sz w:val="24"/>
          <w:szCs w:val="24"/>
          <w:lang w:val="kk-KZ"/>
        </w:rPr>
        <w:t xml:space="preserve">объязанности: </w:t>
      </w:r>
      <w:proofErr w:type="gramStart"/>
      <w:r w:rsidR="0095122B" w:rsidRPr="0095122B">
        <w:rPr>
          <w:b w:val="0"/>
          <w:sz w:val="24"/>
          <w:szCs w:val="24"/>
        </w:rPr>
        <w:t>Налогоплательщикам, нарушившим требования Налогового кодекса Республики Казахстан подготовка предложений в соответствии с законом установлена</w:t>
      </w:r>
      <w:proofErr w:type="gramEnd"/>
      <w:r w:rsidR="0095122B" w:rsidRPr="0095122B">
        <w:rPr>
          <w:b w:val="0"/>
          <w:sz w:val="24"/>
          <w:szCs w:val="24"/>
        </w:rPr>
        <w:t xml:space="preserve"> в соответствии с должностными обязанностями в пределах прав на выполнение работ, соблюдение трудовой дисциплины, государственных и юридических сохранение некоторых охраняемых секретных сведений. Налогообложение налогоплательщиков оказание методической и консультативной помощи по вопросам. Казахстан Приказом министра финансов Республики Казахстан от 10 июля 2020 года № 665</w:t>
      </w:r>
      <w:proofErr w:type="gramStart"/>
      <w:r w:rsidR="0095122B" w:rsidRPr="0095122B">
        <w:rPr>
          <w:b w:val="0"/>
          <w:sz w:val="24"/>
          <w:szCs w:val="24"/>
        </w:rPr>
        <w:t xml:space="preserve"> В</w:t>
      </w:r>
      <w:proofErr w:type="gramEnd"/>
      <w:r w:rsidR="0095122B" w:rsidRPr="0095122B">
        <w:rPr>
          <w:b w:val="0"/>
          <w:sz w:val="24"/>
          <w:szCs w:val="24"/>
        </w:rPr>
        <w:t xml:space="preserve"> Министерстве юстиции Республики Казахстан 5 июня 2015 года №11273 регистрируемых, оказываемых органами государственных доходов Республики Казахстан работа в соответствии со стандартами государственных услуг. Зарегистрировано в районе проведение инвентаризации юридических лиц и форма налоговой отчетности Казахстан </w:t>
      </w:r>
      <w:proofErr w:type="spellStart"/>
      <w:proofErr w:type="gramStart"/>
      <w:r w:rsidR="0095122B" w:rsidRPr="0095122B">
        <w:rPr>
          <w:b w:val="0"/>
          <w:sz w:val="24"/>
          <w:szCs w:val="24"/>
        </w:rPr>
        <w:t>Казахстан</w:t>
      </w:r>
      <w:proofErr w:type="spellEnd"/>
      <w:proofErr w:type="gramEnd"/>
      <w:r w:rsidR="0095122B" w:rsidRPr="0095122B">
        <w:rPr>
          <w:b w:val="0"/>
          <w:sz w:val="24"/>
          <w:szCs w:val="24"/>
        </w:rPr>
        <w:t xml:space="preserve"> в сроки, установленные законодательством Республики Казахстан составить список налогоплательщиков, не сдавших, и составить извещение №17 и контроль за исполнением налогового законодательства, занимающегося отдельным видом деятельности проведение работ по регистрации и инвентаризации плательщиков.</w:t>
      </w:r>
      <w:r w:rsidR="0095122B">
        <w:rPr>
          <w:b w:val="0"/>
          <w:sz w:val="24"/>
          <w:szCs w:val="24"/>
          <w:lang w:val="kk-KZ"/>
        </w:rPr>
        <w:t xml:space="preserve"> </w:t>
      </w:r>
      <w:r w:rsidR="0095122B" w:rsidRPr="0095122B">
        <w:rPr>
          <w:sz w:val="24"/>
          <w:szCs w:val="24"/>
          <w:lang w:val="kk-KZ"/>
        </w:rPr>
        <w:t>А Блок</w:t>
      </w:r>
      <w:r w:rsidR="0010454C" w:rsidRPr="00B01F2F">
        <w:rPr>
          <w:rFonts w:eastAsia="Calibri"/>
          <w:sz w:val="24"/>
          <w:szCs w:val="24"/>
          <w:highlight w:val="yellow"/>
          <w:lang w:val="kk-KZ"/>
        </w:rPr>
        <w:t>.</w:t>
      </w:r>
      <w:r w:rsidR="0010454C" w:rsidRPr="00B01F2F">
        <w:rPr>
          <w:rFonts w:eastAsia="Calibri"/>
          <w:sz w:val="24"/>
          <w:szCs w:val="24"/>
          <w:lang w:val="kk-KZ"/>
        </w:rPr>
        <w:t xml:space="preserve"> </w:t>
      </w:r>
    </w:p>
    <w:p w:rsidR="00C759CE" w:rsidRDefault="00BE17F0" w:rsidP="009512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2B573F" w:rsidRPr="00A133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13330">
        <w:rPr>
          <w:rFonts w:ascii="Times New Roman" w:hAnsi="Times New Roman" w:cs="Times New Roman"/>
          <w:b/>
          <w:sz w:val="24"/>
          <w:szCs w:val="24"/>
        </w:rPr>
        <w:t>к участникам конкурса</w:t>
      </w:r>
      <w:r w:rsidRPr="00A13330">
        <w:rPr>
          <w:rFonts w:ascii="Times New Roman" w:hAnsi="Times New Roman" w:cs="Times New Roman"/>
          <w:sz w:val="24"/>
          <w:szCs w:val="24"/>
        </w:rPr>
        <w:t>: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59CE" w:rsidRPr="00C75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высшее или </w:t>
      </w:r>
      <w:r w:rsidR="00C759CE" w:rsidRPr="00C759CE">
        <w:rPr>
          <w:rFonts w:ascii="Times New Roman" w:hAnsi="Times New Roman" w:cs="Times New Roman"/>
          <w:sz w:val="24"/>
          <w:szCs w:val="24"/>
        </w:rPr>
        <w:t>послевузовское</w:t>
      </w:r>
      <w:r w:rsidR="00C759CE"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образование: 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Бизнес и управление (экономика, менеджмент, учет и аудит, финансы, </w:t>
      </w:r>
      <w:r w:rsidR="00C759CE" w:rsidRPr="00C759CE">
        <w:rPr>
          <w:rFonts w:ascii="Times New Roman" w:hAnsi="Times New Roman" w:cs="Times New Roman"/>
          <w:sz w:val="24"/>
          <w:szCs w:val="24"/>
        </w:rPr>
        <w:t>государственное и местное управление,</w:t>
      </w:r>
      <w:r w:rsidR="00C759CE"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мировая экономика, таможенное дело), право (юриспруденция, 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междунардное право), информационно-коммуникационные технологии (информатика, информационные системы, вычислительная техника и программное обеспечение, математическое и компьютерное моделирование</w:t>
      </w:r>
      <w:r w:rsid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C759CE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), </w:t>
      </w:r>
    </w:p>
    <w:p w:rsidR="00C759CE" w:rsidRPr="00C759CE" w:rsidRDefault="00C759CE" w:rsidP="00C759C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color w:val="000000"/>
          <w:sz w:val="24"/>
          <w:szCs w:val="24"/>
        </w:rPr>
        <w:t>Для  данной  категории знание нормативных правовых актов согласно программе тестирования на знание законодательства</w:t>
      </w:r>
      <w:r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Казахстан, </w:t>
      </w:r>
      <w:r w:rsidRPr="00C759CE">
        <w:rPr>
          <w:rFonts w:ascii="Times New Roman" w:hAnsi="Times New Roman" w:cs="Times New Roman"/>
          <w:sz w:val="24"/>
          <w:szCs w:val="24"/>
        </w:rPr>
        <w:t>Стратегии «Казахстан-2050»: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 xml:space="preserve">Уведомление осуществляется по телефону или по электронной почте, </w:t>
      </w:r>
      <w:proofErr w:type="gramStart"/>
      <w:r w:rsidRPr="00C759C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C759CE">
        <w:rPr>
          <w:rFonts w:ascii="Times New Roman" w:hAnsi="Times New Roman" w:cs="Times New Roman"/>
          <w:sz w:val="24"/>
          <w:szCs w:val="24"/>
        </w:rPr>
        <w:t xml:space="preserve"> в объявлении о проведении конкурса.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759CE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C759CE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C75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3E6A35" w:rsidRPr="00A13330" w:rsidRDefault="00BE17F0" w:rsidP="00C7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Для участия во </w:t>
      </w:r>
      <w:r w:rsidRPr="00A1333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внутреннем конкурсе </w:t>
      </w: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предоставляются следующие </w:t>
      </w:r>
      <w:r w:rsidR="003E6A35"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</w:t>
      </w:r>
    </w:p>
    <w:p w:rsidR="00BE17F0" w:rsidRPr="00A1333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</w:t>
      </w:r>
      <w:r w:rsidR="00BE17F0"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документы:</w:t>
      </w:r>
    </w:p>
    <w:p w:rsidR="00670A99" w:rsidRPr="00670A99" w:rsidRDefault="00670A99" w:rsidP="00670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A99">
        <w:rPr>
          <w:rFonts w:ascii="Times New Roman" w:hAnsi="Times New Roman" w:cs="Times New Roman"/>
          <w:color w:val="000000"/>
          <w:sz w:val="24"/>
          <w:szCs w:val="24"/>
        </w:rPr>
        <w:t>1) заявление по форме, согласно приложению 2 к настоящим Правилам (далее – Заявление);</w:t>
      </w:r>
    </w:p>
    <w:p w:rsidR="00670A99" w:rsidRPr="00670A99" w:rsidRDefault="00670A99" w:rsidP="006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475"/>
      <w:r w:rsidRPr="00670A99">
        <w:rPr>
          <w:rFonts w:ascii="Times New Roman" w:hAnsi="Times New Roman" w:cs="Times New Roman"/>
          <w:color w:val="000000"/>
          <w:sz w:val="24"/>
          <w:szCs w:val="24"/>
        </w:rPr>
        <w:t xml:space="preserve">       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от 10 сентября 2021 года № 158 (зарегистрирован в Реестре государственной регистрации нормативных правовых актов под № 24350),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bookmarkEnd w:id="2"/>
    <w:p w:rsidR="00670A99" w:rsidRPr="00670A99" w:rsidRDefault="00670A99" w:rsidP="00670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99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Кандидаты могут </w:t>
      </w:r>
      <w:proofErr w:type="gramStart"/>
      <w:r w:rsidRPr="00670A99">
        <w:rPr>
          <w:rFonts w:ascii="Times New Roman" w:hAnsi="Times New Roman" w:cs="Times New Roman"/>
          <w:color w:val="000000"/>
          <w:sz w:val="24"/>
          <w:szCs w:val="24"/>
        </w:rPr>
        <w:t>предоставлять документы</w:t>
      </w:r>
      <w:proofErr w:type="gramEnd"/>
      <w:r w:rsidRPr="00670A99">
        <w:rPr>
          <w:rFonts w:ascii="Times New Roman" w:hAnsi="Times New Roman" w:cs="Times New Roman"/>
          <w:color w:val="000000"/>
          <w:sz w:val="24"/>
          <w:szCs w:val="24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8A369E" w:rsidRPr="008A369E" w:rsidRDefault="008A369E" w:rsidP="008A369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неполного пакета документов, либо недостоверных сведений, либо </w:t>
      </w:r>
      <w:proofErr w:type="gramStart"/>
      <w:r w:rsidRPr="008A369E">
        <w:rPr>
          <w:rFonts w:ascii="Times New Roman" w:hAnsi="Times New Roman" w:cs="Times New Roman"/>
          <w:color w:val="000000"/>
          <w:sz w:val="24"/>
          <w:szCs w:val="24"/>
        </w:rPr>
        <w:t>несоответствии</w:t>
      </w:r>
      <w:proofErr w:type="gramEnd"/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предъявляемым к ним требованиям является основанием для отказа в их принятии секретарем конкурсной комиссией.</w:t>
      </w:r>
      <w:r w:rsidRPr="008A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3F" w:rsidRPr="00A13330" w:rsidRDefault="008A369E" w:rsidP="008A369E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sz w:val="24"/>
          <w:szCs w:val="24"/>
        </w:rPr>
        <w:lastRenderedPageBreak/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F74893" w:rsidRPr="00A13330" w:rsidRDefault="00F74893" w:rsidP="008A369E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8A369E">
        <w:rPr>
          <w:rFonts w:ascii="Times New Roman" w:hAnsi="Times New Roman" w:cs="Times New Roman"/>
          <w:b/>
          <w:sz w:val="24"/>
          <w:szCs w:val="24"/>
        </w:rPr>
        <w:t>рок приема документов 3 рабочих дня</w:t>
      </w:r>
      <w:r w:rsidRPr="00A13330">
        <w:rPr>
          <w:rFonts w:ascii="Times New Roman" w:hAnsi="Times New Roman" w:cs="Times New Roman"/>
          <w:sz w:val="24"/>
          <w:szCs w:val="24"/>
        </w:rPr>
        <w:t xml:space="preserve">, который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A369E" w:rsidRDefault="00F74893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>Лица, изъявившие желание участвовать во внутреннем конкурсе представляют документы в государственный орган, объявивший конкурс, в электронном виде посредством интегрированной информационной системы «</w:t>
      </w:r>
      <w:proofErr w:type="gramStart"/>
      <w:r w:rsidRPr="00A13330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End"/>
      <w:r w:rsidRPr="00A1333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>» или портала электронного правительства «Е-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>» либо на адрес электронной почты, указанный в объявлении, в сроки приема документов.</w:t>
      </w:r>
    </w:p>
    <w:p w:rsidR="00670A99" w:rsidRPr="00670A99" w:rsidRDefault="00670A99" w:rsidP="00670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A99">
        <w:rPr>
          <w:rFonts w:ascii="Times New Roman" w:hAnsi="Times New Roman" w:cs="Times New Roman"/>
          <w:color w:val="000000"/>
          <w:sz w:val="24"/>
          <w:szCs w:val="24"/>
        </w:rPr>
        <w:t>Служба управления персоналом (кадровая служба) либо лицо, на которое возложено исполнение обязанностей службы управления персоналом (кадровой службы), рассматривает представленные документы на соответствие кандидатов квалификационным требованиям, утвержденным согласно пункту 4 статьи 17 Закона, и принимает решение о допуске участников конкурса к собеседованию в течение</w:t>
      </w:r>
      <w:r w:rsidRPr="005250AE">
        <w:rPr>
          <w:rFonts w:ascii="Times New Roman"/>
          <w:color w:val="000000"/>
          <w:sz w:val="28"/>
        </w:rPr>
        <w:t xml:space="preserve"> </w:t>
      </w:r>
      <w:r w:rsidRPr="00670A99">
        <w:rPr>
          <w:rFonts w:ascii="Times New Roman" w:hAnsi="Times New Roman" w:cs="Times New Roman"/>
          <w:color w:val="000000"/>
          <w:sz w:val="24"/>
          <w:szCs w:val="24"/>
        </w:rPr>
        <w:t>одного рабочего дня после окончания срока приема документов.</w:t>
      </w:r>
      <w:proofErr w:type="gramEnd"/>
    </w:p>
    <w:p w:rsidR="00F74893" w:rsidRDefault="00F74893" w:rsidP="008A369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Кандидаты, допущенные к собеседованию, проходят его в ГУ </w:t>
      </w:r>
      <w:r w:rsidRPr="00A13330">
        <w:rPr>
          <w:rFonts w:ascii="Times New Roman" w:hAnsi="Times New Roman" w:cs="Times New Roman"/>
          <w:sz w:val="24"/>
          <w:szCs w:val="24"/>
        </w:rPr>
        <w:t>«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Управление государственных доходов по Созакскому району  Д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епартамент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а государственных доходов </w:t>
      </w:r>
      <w:r w:rsidRPr="00A13330">
        <w:rPr>
          <w:rFonts w:ascii="Times New Roman" w:hAnsi="Times New Roman" w:cs="Times New Roman"/>
          <w:sz w:val="24"/>
          <w:szCs w:val="24"/>
        </w:rPr>
        <w:t xml:space="preserve">по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Туркестанской </w:t>
      </w:r>
      <w:r w:rsidRPr="00A13330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gramStart"/>
      <w:r w:rsidRPr="00A13330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омитета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государственных доходов</w:t>
      </w:r>
      <w:r w:rsidRPr="00A13330">
        <w:rPr>
          <w:rFonts w:ascii="Times New Roman" w:hAnsi="Times New Roman" w:cs="Times New Roman"/>
          <w:sz w:val="24"/>
          <w:szCs w:val="24"/>
        </w:rPr>
        <w:t xml:space="preserve"> Министерства финансов Республики</w:t>
      </w:r>
      <w:proofErr w:type="gramEnd"/>
      <w:r w:rsidRPr="00A13330">
        <w:rPr>
          <w:rFonts w:ascii="Times New Roman" w:hAnsi="Times New Roman" w:cs="Times New Roman"/>
          <w:sz w:val="24"/>
          <w:szCs w:val="24"/>
        </w:rPr>
        <w:t xml:space="preserve"> Казахстан», </w:t>
      </w:r>
      <w:r w:rsidRPr="00A13330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A13330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область,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с. Шолаккорган, 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Жибек жолы №30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8 (72546) </w:t>
      </w:r>
      <w:r w:rsidR="00FE2CF4" w:rsidRPr="00FE2CF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-11-25</w:t>
      </w:r>
      <w:r w:rsidRPr="00A13330">
        <w:rPr>
          <w:rFonts w:ascii="Times New Roman" w:hAnsi="Times New Roman" w:cs="Times New Roman"/>
          <w:sz w:val="24"/>
          <w:szCs w:val="24"/>
        </w:rPr>
        <w:t>,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A13330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 w:eastAsia="ar-SA"/>
        </w:rPr>
        <w:t>a</w:t>
      </w:r>
      <w:r w:rsidRPr="00A13330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A13330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 w:eastAsia="ar-SA"/>
        </w:rPr>
        <w:t>utebaeva</w:t>
      </w:r>
      <w:proofErr w:type="spellEnd"/>
      <w:r w:rsidRPr="00A13330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>@kgd.gov.kz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</w:rPr>
        <w:t>максимально допустимый размер файл</w:t>
      </w:r>
      <w:r w:rsidR="00AE613B">
        <w:rPr>
          <w:rFonts w:ascii="Times New Roman" w:hAnsi="Times New Roman" w:cs="Times New Roman"/>
          <w:sz w:val="24"/>
          <w:szCs w:val="24"/>
          <w:lang w:val="kk-KZ"/>
        </w:rPr>
        <w:t>а 3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0МБ)</w:t>
      </w:r>
      <w:r w:rsidRPr="00A1333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A13330">
        <w:rPr>
          <w:rFonts w:ascii="Times New Roman" w:hAnsi="Times New Roman" w:cs="Times New Roman"/>
          <w:color w:val="000000"/>
          <w:sz w:val="24"/>
          <w:szCs w:val="24"/>
        </w:rPr>
        <w:t>в течение 3 рабочих дней со дня уведомления кандидатов о допуске их к собеседованию.</w:t>
      </w:r>
    </w:p>
    <w:p w:rsidR="008A369E" w:rsidRPr="008A369E" w:rsidRDefault="008A369E" w:rsidP="008A369E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69E">
        <w:rPr>
          <w:rFonts w:ascii="Times New Roman" w:hAnsi="Times New Roman" w:cs="Times New Roman"/>
          <w:sz w:val="24"/>
          <w:szCs w:val="24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8A369E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8A369E">
        <w:rPr>
          <w:rFonts w:ascii="Times New Roman" w:hAnsi="Times New Roman" w:cs="Times New Roman"/>
          <w:sz w:val="24"/>
          <w:szCs w:val="24"/>
        </w:rPr>
        <w:t xml:space="preserve"> государственного органа, объявившего конкурс, до </w:t>
      </w:r>
      <w:proofErr w:type="gramStart"/>
      <w:r w:rsidRPr="008A369E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8A369E">
        <w:rPr>
          <w:rFonts w:ascii="Times New Roman" w:hAnsi="Times New Roman" w:cs="Times New Roman"/>
          <w:sz w:val="24"/>
          <w:szCs w:val="24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8A369E" w:rsidRPr="008A369E" w:rsidRDefault="008A369E" w:rsidP="008A369E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конкурса и кандидаты вправе обжаловать административный акт, административное действие (бездействие) конкурсной комиссии, службы управления персоналом (кадровой службы), либо лица, на которое возложено исполнение обязанностей службы управления персоналом (кадровой службы) в досудебном порядке. Жалоба подается в административный орган, должностному лицу, </w:t>
      </w:r>
      <w:proofErr w:type="gramStart"/>
      <w:r w:rsidRPr="008A369E">
        <w:rPr>
          <w:rFonts w:ascii="Times New Roman" w:hAnsi="Times New Roman" w:cs="Times New Roman"/>
          <w:color w:val="000000"/>
          <w:sz w:val="24"/>
          <w:szCs w:val="24"/>
        </w:rPr>
        <w:t>чьи</w:t>
      </w:r>
      <w:proofErr w:type="gramEnd"/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акт, административное действие (бездействие) обжалуются</w:t>
      </w:r>
      <w:r w:rsidRPr="008A36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A369E" w:rsidRPr="008A369E" w:rsidRDefault="008A369E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893" w:rsidRDefault="00F74893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70A99" w:rsidRDefault="00670A99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70A99" w:rsidRPr="00670A99" w:rsidRDefault="00670A99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C530E" w:rsidRDefault="00E35281" w:rsidP="004C530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F601C7" w:rsidRPr="00F601C7" w:rsidTr="00E806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 на занятие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F601C7" w:rsidRPr="00F601C7" w:rsidTr="00E806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F601C7" w:rsidRPr="00F601C7" w:rsidTr="00E806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орган)</w:t>
            </w:r>
          </w:p>
        </w:tc>
      </w:tr>
    </w:tbl>
    <w:p w:rsidR="00F601C7" w:rsidRPr="00F601C7" w:rsidRDefault="00F601C7" w:rsidP="00F60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z1695"/>
      <w:r w:rsidRPr="00F601C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bookmarkEnd w:id="3"/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участию в конкурсах на занятие вакантных</w:t>
      </w:r>
    </w:p>
    <w:p w:rsidR="00F601C7" w:rsidRPr="00FE2CF4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административных государственных должностей:</w:t>
      </w:r>
      <w:r w:rsidRPr="00FE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  <w:r w:rsidRPr="00FE2CF4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F601C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601C7" w:rsidRPr="00FE2CF4" w:rsidRDefault="00F601C7" w:rsidP="00F60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С основными требованиями Правил проведения конкурса на занятие административной государственной должности корпуса </w:t>
      </w:r>
    </w:p>
    <w:p w:rsidR="00F601C7" w:rsidRPr="00FE2CF4" w:rsidRDefault="00F601C7" w:rsidP="00F60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"Б"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(ознакомлена), согласен (согласна) и обязуюсь их выполнять. Выражаю свое согласие на сбор и обработку моих персональных данных, в том числе с психоневрологических и наркологических организаций.                  </w:t>
      </w:r>
    </w:p>
    <w:p w:rsidR="00F601C7" w:rsidRPr="00F601C7" w:rsidRDefault="00F601C7" w:rsidP="00F601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удочерителями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), усыновленными (удочеренными), полнородными и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братьями и сестрами, родителями и детьми супруга (супруги), а также иметь в непосредственном подчинении близких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родственников, супруга (супругу) и (или) свойственников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(ознакомлена).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С трансляцией и размещением на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органа видеозаписи моего собеседования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 (да/нет)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Отвечаю за подлинность представленных документов.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Адрес 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Номера контактных телефонов: 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ИИН 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 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(подпись) (Фамилия, имя, отчество (при его наличии))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"____"_______________ 20__ г.</w:t>
      </w:r>
    </w:p>
    <w:p w:rsidR="00B01F2F" w:rsidRDefault="00B01F2F" w:rsidP="008A369E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</w:pPr>
    </w:p>
    <w:sectPr w:rsidR="00B01F2F" w:rsidSect="00A13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0"/>
    <w:rsid w:val="0010454C"/>
    <w:rsid w:val="0015173F"/>
    <w:rsid w:val="001C6D0A"/>
    <w:rsid w:val="002B573F"/>
    <w:rsid w:val="0033554E"/>
    <w:rsid w:val="00390BB8"/>
    <w:rsid w:val="003B6D18"/>
    <w:rsid w:val="003E6A35"/>
    <w:rsid w:val="00467F1D"/>
    <w:rsid w:val="004C530E"/>
    <w:rsid w:val="005635C3"/>
    <w:rsid w:val="0059591E"/>
    <w:rsid w:val="005A12DD"/>
    <w:rsid w:val="005D0DB8"/>
    <w:rsid w:val="006079FE"/>
    <w:rsid w:val="00621759"/>
    <w:rsid w:val="00621EDA"/>
    <w:rsid w:val="00670A99"/>
    <w:rsid w:val="00727920"/>
    <w:rsid w:val="007B5515"/>
    <w:rsid w:val="007F14B1"/>
    <w:rsid w:val="008571C6"/>
    <w:rsid w:val="008A369E"/>
    <w:rsid w:val="008C00FB"/>
    <w:rsid w:val="008C20B5"/>
    <w:rsid w:val="008F0311"/>
    <w:rsid w:val="0095122B"/>
    <w:rsid w:val="00997C28"/>
    <w:rsid w:val="00A13330"/>
    <w:rsid w:val="00AE312C"/>
    <w:rsid w:val="00AE613B"/>
    <w:rsid w:val="00B01F2F"/>
    <w:rsid w:val="00B46A24"/>
    <w:rsid w:val="00BC541F"/>
    <w:rsid w:val="00BD4559"/>
    <w:rsid w:val="00BE17F0"/>
    <w:rsid w:val="00C644E4"/>
    <w:rsid w:val="00C759CE"/>
    <w:rsid w:val="00C7603B"/>
    <w:rsid w:val="00CA3BFB"/>
    <w:rsid w:val="00D015ED"/>
    <w:rsid w:val="00D37D01"/>
    <w:rsid w:val="00E35281"/>
    <w:rsid w:val="00F22555"/>
    <w:rsid w:val="00F3351D"/>
    <w:rsid w:val="00F36D50"/>
    <w:rsid w:val="00F46F66"/>
    <w:rsid w:val="00F601C7"/>
    <w:rsid w:val="00F74893"/>
    <w:rsid w:val="00F845CC"/>
    <w:rsid w:val="00FE2CF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12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573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9512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12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573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9512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utebaeva@kgd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41</cp:revision>
  <cp:lastPrinted>2024-04-17T04:44:00Z</cp:lastPrinted>
  <dcterms:created xsi:type="dcterms:W3CDTF">2022-02-09T13:17:00Z</dcterms:created>
  <dcterms:modified xsi:type="dcterms:W3CDTF">2025-01-21T11:50:00Z</dcterms:modified>
</cp:coreProperties>
</file>