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r w:rsidR="002743EB" w:rsidRPr="002743EB">
        <w:rPr>
          <w:i w:val="0"/>
          <w:lang w:val="kk-KZ"/>
        </w:rPr>
        <w:t xml:space="preserve"> </w:t>
      </w:r>
      <w:r w:rsidR="002743EB" w:rsidRPr="0079689C">
        <w:rPr>
          <w:b w:val="0"/>
          <w:i w:val="0"/>
          <w:lang w:val="kk-KZ"/>
        </w:rPr>
        <w:t>d</w:t>
      </w:r>
      <w:hyperlink r:id="rId5" w:history="1">
        <w:r w:rsidR="002743EB" w:rsidRPr="0079689C">
          <w:rPr>
            <w:rStyle w:val="a3"/>
            <w:rFonts w:asciiTheme="majorHAnsi" w:hAnsiTheme="majorHAnsi" w:cstheme="majorBidi"/>
            <w:b w:val="0"/>
            <w:i w:val="0"/>
            <w:lang w:val="kk-KZ"/>
          </w:rPr>
          <w:t>.saparov@</w:t>
        </w:r>
        <w:r w:rsidR="002743EB" w:rsidRPr="0079689C">
          <w:rPr>
            <w:rStyle w:val="a3"/>
            <w:b w:val="0"/>
            <w:i w:val="0"/>
            <w:lang w:val="kk-KZ"/>
          </w:rPr>
          <w:t>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28190A" w:rsidRPr="0028190A">
        <w:rPr>
          <w:i w:val="0"/>
          <w:lang w:val="kk-KZ"/>
        </w:rPr>
        <w:t>Салық төлеушілердің ақпараттарын қабылдау мен өндеу және салықтық тіркеу</w:t>
      </w:r>
      <w:r w:rsidR="0028190A">
        <w:rPr>
          <w:lang w:val="kk-KZ"/>
        </w:rPr>
        <w:t xml:space="preserve"> </w:t>
      </w:r>
      <w:r w:rsidR="0028190A" w:rsidRPr="0028190A">
        <w:rPr>
          <w:i w:val="0"/>
          <w:lang w:val="kk-KZ"/>
        </w:rPr>
        <w:t>орталығы- бөлімінің</w:t>
      </w:r>
      <w:r w:rsidR="0028190A">
        <w:rPr>
          <w:i w:val="0"/>
          <w:lang w:val="kk-KZ"/>
        </w:rPr>
        <w:t xml:space="preserve"> </w:t>
      </w:r>
      <w:r w:rsidR="00C914E3" w:rsidRPr="001D1B25">
        <w:rPr>
          <w:i w:val="0"/>
          <w:lang w:val="kk-KZ"/>
        </w:rPr>
        <w:t>бас маманы</w:t>
      </w:r>
      <w:r w:rsidR="002577CA" w:rsidRPr="001D1B25">
        <w:rPr>
          <w:i w:val="0"/>
          <w:lang w:val="kk-KZ"/>
        </w:rPr>
        <w:t xml:space="preserve">, С-R-4 санаты - </w:t>
      </w:r>
      <w:r w:rsidR="00C914E3" w:rsidRPr="001D1B25">
        <w:rPr>
          <w:i w:val="0"/>
          <w:lang w:val="kk-KZ"/>
        </w:rPr>
        <w:t xml:space="preserve"> 1 бірлік.</w:t>
      </w:r>
    </w:p>
    <w:p w:rsidR="00DA5BD7" w:rsidRPr="00A41637" w:rsidRDefault="00F472D7" w:rsidP="00DA5BD7">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DA5BD7"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 ставкамен бюджеттен </w:t>
      </w:r>
      <w:r w:rsidR="00DA5BD7" w:rsidRPr="00A41637">
        <w:rPr>
          <w:b w:val="0"/>
          <w:i w:val="0"/>
          <w:lang w:val="kk-KZ"/>
        </w:rPr>
        <w:lastRenderedPageBreak/>
        <w:t>қайтарылатын ҚҚС-ның дұрыстығын бақылау, бірыңғай кеден аумағы мен кеден одағы мәселерін бақылау, салық есептілігі үлгілерін камералды бақылау,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Өз жұмысын  жүргізуді  жоспарлай білу.</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 xml:space="preserve">Сарапшылар әңгімелесу барысын өздерінің техникалық жазба </w:t>
      </w:r>
      <w:r w:rsidRPr="00F400E4">
        <w:rPr>
          <w:b w:val="0"/>
          <w:i w:val="0"/>
          <w:lang w:val="kk-KZ"/>
        </w:rPr>
        <w:lastRenderedPageBreak/>
        <w:t>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w:t>
      </w:r>
      <w:r w:rsidRPr="00F400E4">
        <w:rPr>
          <w:b w:val="0"/>
          <w:i w:val="0"/>
          <w:lang w:val="kk-KZ"/>
        </w:rPr>
        <w:lastRenderedPageBreak/>
        <w:t>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4016D1" w:rsidRDefault="004016D1"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 ______________________</w:t>
      </w:r>
      <w:r w:rsidR="004016D1" w:rsidRPr="004016D1">
        <w:rPr>
          <w:rFonts w:eastAsiaTheme="minorEastAsia"/>
          <w:b w:val="0"/>
          <w:i w:val="0"/>
          <w:color w:val="000000"/>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A712CA" w:rsidRDefault="00794676" w:rsidP="00794676">
      <w:pPr>
        <w:ind w:firstLine="709"/>
        <w:contextualSpacing/>
        <w:jc w:val="both"/>
        <w:rPr>
          <w:rFonts w:eastAsiaTheme="minorEastAsia"/>
          <w:b w:val="0"/>
          <w:i w:val="0"/>
          <w:color w:val="000000"/>
          <w:lang w:eastAsia="ja-JP"/>
        </w:rPr>
      </w:pPr>
      <w:r w:rsidRPr="00794676">
        <w:rPr>
          <w:rFonts w:eastAsiaTheme="minorEastAsia"/>
          <w:b w:val="0"/>
          <w:i w:val="0"/>
          <w:color w:val="000000"/>
          <w:lang w:val="kk-KZ" w:eastAsia="ja-JP"/>
        </w:rPr>
        <w:t xml:space="preserve">Байланыс </w:t>
      </w:r>
      <w:r w:rsidR="004016D1">
        <w:rPr>
          <w:rFonts w:eastAsiaTheme="minorEastAsia"/>
          <w:b w:val="0"/>
          <w:i w:val="0"/>
          <w:color w:val="000000"/>
          <w:lang w:val="kk-KZ" w:eastAsia="ja-JP"/>
        </w:rPr>
        <w:t>телефоны: 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522C38" w:rsidRPr="00A712CA" w:rsidRDefault="00794676" w:rsidP="00A712CA">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sectPr w:rsidR="00522C38" w:rsidRPr="00A712CA"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0B85"/>
    <w:rsid w:val="00245093"/>
    <w:rsid w:val="002577CA"/>
    <w:rsid w:val="002743EB"/>
    <w:rsid w:val="00275776"/>
    <w:rsid w:val="00276B9F"/>
    <w:rsid w:val="0028190A"/>
    <w:rsid w:val="002A5D39"/>
    <w:rsid w:val="002E76AB"/>
    <w:rsid w:val="002F1F9A"/>
    <w:rsid w:val="002F552A"/>
    <w:rsid w:val="00390CD3"/>
    <w:rsid w:val="003A60CC"/>
    <w:rsid w:val="003B23FF"/>
    <w:rsid w:val="003C7E6F"/>
    <w:rsid w:val="003E12DC"/>
    <w:rsid w:val="003E6865"/>
    <w:rsid w:val="003E6FFE"/>
    <w:rsid w:val="004016D1"/>
    <w:rsid w:val="004051A9"/>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46AB7"/>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9689C"/>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12CA"/>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D313D0"/>
    <w:rsid w:val="00D372D0"/>
    <w:rsid w:val="00D43589"/>
    <w:rsid w:val="00D445E2"/>
    <w:rsid w:val="00D60DFF"/>
    <w:rsid w:val="00D6425C"/>
    <w:rsid w:val="00D70837"/>
    <w:rsid w:val="00D71779"/>
    <w:rsid w:val="00DA369C"/>
    <w:rsid w:val="00DA5BD7"/>
    <w:rsid w:val="00DA5C57"/>
    <w:rsid w:val="00E1195D"/>
    <w:rsid w:val="00E14BEA"/>
    <w:rsid w:val="00E34D9E"/>
    <w:rsid w:val="00E46586"/>
    <w:rsid w:val="00E63DF0"/>
    <w:rsid w:val="00E860FA"/>
    <w:rsid w:val="00E9407D"/>
    <w:rsid w:val="00EB1C11"/>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s_haimova</cp:lastModifiedBy>
  <cp:revision>2</cp:revision>
  <cp:lastPrinted>2021-03-19T09:52:00Z</cp:lastPrinted>
  <dcterms:created xsi:type="dcterms:W3CDTF">2021-03-19T11:05:00Z</dcterms:created>
  <dcterms:modified xsi:type="dcterms:W3CDTF">2021-03-19T11:05:00Z</dcterms:modified>
</cp:coreProperties>
</file>