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D2D7A" w:rsidTr="002D2D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D2D7A" w:rsidRDefault="002D2D7A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31.10.2022-ғы № МКБ-Т-005-21-1712 шығыс хаты</w:t>
            </w:r>
          </w:p>
          <w:p w:rsidR="002D2D7A" w:rsidRPr="002D2D7A" w:rsidRDefault="002D2D7A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31.10.2022-ғы № 25969 кіріс хаты</w:t>
            </w:r>
          </w:p>
        </w:tc>
      </w:tr>
    </w:tbl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r w:rsidR="00236B46" w:rsidRPr="00236B46">
        <w:rPr>
          <w:rFonts w:ascii="Arial" w:hAnsi="Arial" w:cs="Arial"/>
        </w:rPr>
        <w:t xml:space="preserve">осударственных доходов по Толебийскому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D84BFB">
        <w:rPr>
          <w:rFonts w:ascii="Arial" w:hAnsi="Arial" w:cs="Arial"/>
          <w:bCs/>
          <w:color w:val="000000"/>
          <w:lang w:val="kk-KZ"/>
        </w:rPr>
        <w:t>4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D84BFB">
        <w:rPr>
          <w:rFonts w:ascii="Arial" w:hAnsi="Arial" w:cs="Arial"/>
          <w:lang w:val="kk-KZ"/>
        </w:rPr>
        <w:t>28</w:t>
      </w:r>
      <w:r w:rsidR="00992494" w:rsidRPr="00236B46">
        <w:rPr>
          <w:rFonts w:ascii="Arial" w:hAnsi="Arial" w:cs="Arial"/>
          <w:lang w:val="kk-KZ"/>
        </w:rPr>
        <w:t>.</w:t>
      </w:r>
      <w:r w:rsidR="00D84BFB">
        <w:rPr>
          <w:rFonts w:ascii="Arial" w:hAnsi="Arial" w:cs="Arial"/>
          <w:lang w:val="kk-KZ"/>
        </w:rPr>
        <w:t>1</w:t>
      </w:r>
      <w:r w:rsidR="00992494" w:rsidRPr="00236B46">
        <w:rPr>
          <w:rFonts w:ascii="Arial" w:hAnsi="Arial" w:cs="Arial"/>
          <w:lang w:val="kk-KZ"/>
        </w:rPr>
        <w:t>0.202</w:t>
      </w:r>
      <w:r w:rsidR="005041D3">
        <w:rPr>
          <w:rFonts w:ascii="Arial" w:hAnsi="Arial" w:cs="Arial"/>
          <w:lang w:val="kk-KZ"/>
        </w:rPr>
        <w:t>2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на занятие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5041D3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02403C" w:rsidP="00992494">
            <w:pPr>
              <w:rPr>
                <w:rFonts w:ascii="Arial" w:hAnsi="Arial" w:cs="Arial"/>
                <w:color w:val="000000"/>
                <w:lang w:val="kk-KZ"/>
              </w:rPr>
            </w:pPr>
            <w:r w:rsidRPr="0002403C">
              <w:rPr>
                <w:rFonts w:ascii="Arial" w:hAnsi="Arial" w:cs="Arial"/>
                <w:color w:val="000000"/>
                <w:lang w:val="kk-KZ"/>
              </w:rPr>
              <w:t>Мырзамұратов Мырза Сәбитұлы</w:t>
            </w: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18" w:rsidRDefault="006F3518" w:rsidP="002D2D7A">
      <w:r>
        <w:separator/>
      </w:r>
    </w:p>
  </w:endnote>
  <w:endnote w:type="continuationSeparator" w:id="0">
    <w:p w:rsidR="006F3518" w:rsidRDefault="006F3518" w:rsidP="002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18" w:rsidRDefault="006F3518" w:rsidP="002D2D7A">
      <w:r>
        <w:separator/>
      </w:r>
    </w:p>
  </w:footnote>
  <w:footnote w:type="continuationSeparator" w:id="0">
    <w:p w:rsidR="006F3518" w:rsidRDefault="006F3518" w:rsidP="002D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A" w:rsidRDefault="00DE34E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D7A" w:rsidRPr="002D2D7A" w:rsidRDefault="002D2D7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D2D7A" w:rsidRPr="002D2D7A" w:rsidRDefault="002D2D7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D2D7A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6F3518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DE34EA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C9E9F-7EA1-4F71-AD2B-336355B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2D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2D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2022-10-31T11:26:00Z</dcterms:created>
  <dcterms:modified xsi:type="dcterms:W3CDTF">2022-10-31T11:26:00Z</dcterms:modified>
</cp:coreProperties>
</file>