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ind w:firstLine="1405"/>
              <w:rPr>
                <w:b w:val="0"/>
                <w:i w:val="0"/>
                <w:color w:val="000000"/>
                <w:lang w:val="kk-KZ"/>
              </w:rPr>
            </w:pPr>
            <w:r w:rsidRPr="001D1B25">
              <w:rPr>
                <w:i w:val="0"/>
                <w:color w:val="000000"/>
                <w:lang w:val="kk-KZ"/>
              </w:rPr>
              <w:t>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w:t>
      </w:r>
      <w:r w:rsidR="00DE2405">
        <w:rPr>
          <w:rFonts w:eastAsiaTheme="minorEastAsia"/>
          <w:bCs w:val="0"/>
          <w:i w:val="0"/>
          <w:iCs w:val="0"/>
          <w:lang w:val="kk-KZ"/>
        </w:rPr>
        <w:t>Түркістан қаласы,Жаңа қала</w:t>
      </w:r>
      <w:r w:rsidR="00901062">
        <w:rPr>
          <w:rFonts w:eastAsiaTheme="minorEastAsia"/>
          <w:bCs w:val="0"/>
          <w:i w:val="0"/>
          <w:iCs w:val="0"/>
          <w:lang w:val="kk-KZ"/>
        </w:rPr>
        <w:t>,</w:t>
      </w:r>
      <w:r w:rsidR="00DE2405">
        <w:rPr>
          <w:rFonts w:eastAsiaTheme="minorEastAsia"/>
          <w:bCs w:val="0"/>
          <w:i w:val="0"/>
          <w:iCs w:val="0"/>
          <w:lang w:val="kk-KZ"/>
        </w:rPr>
        <w:t>160 квартал,5 нысан.</w:t>
      </w:r>
      <w:r w:rsidR="00901062">
        <w:rPr>
          <w:rFonts w:eastAsiaTheme="minorEastAsia"/>
          <w:bCs w:val="0"/>
          <w:i w:val="0"/>
          <w:iCs w:val="0"/>
          <w:lang w:val="kk-KZ"/>
        </w:rPr>
        <w:t xml:space="preserve"> </w:t>
      </w:r>
      <w:r w:rsidR="00DE2405">
        <w:rPr>
          <w:rFonts w:eastAsiaTheme="minorEastAsia"/>
          <w:bCs w:val="0"/>
          <w:i w:val="0"/>
          <w:iCs w:val="0"/>
          <w:lang w:val="kk-KZ"/>
        </w:rPr>
        <w:t xml:space="preserve">Байланыс телефоны 8(72533) 5-76-92, </w:t>
      </w:r>
      <w:r w:rsidRPr="0057359A">
        <w:rPr>
          <w:rFonts w:eastAsiaTheme="minorEastAsia"/>
          <w:bCs w:val="0"/>
          <w:i w:val="0"/>
          <w:iCs w:val="0"/>
          <w:lang w:val="kk-KZ"/>
        </w:rPr>
        <w:t xml:space="preserve">электрондық мекен-жайы: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103979">
        <w:rPr>
          <w:i w:val="0"/>
          <w:lang w:val="kk-KZ"/>
        </w:rPr>
        <w:t xml:space="preserve">Салықтық бақылау  </w:t>
      </w:r>
      <w:r w:rsidRPr="0057359A">
        <w:rPr>
          <w:i w:val="0"/>
          <w:lang w:val="kk-KZ"/>
        </w:rPr>
        <w:t xml:space="preserve">бөлімінің </w:t>
      </w:r>
      <w:r w:rsidR="00C825D3">
        <w:rPr>
          <w:i w:val="0"/>
          <w:lang w:val="kk-KZ"/>
        </w:rPr>
        <w:t>бас</w:t>
      </w:r>
      <w:r w:rsidRPr="0057359A">
        <w:rPr>
          <w:i w:val="0"/>
          <w:lang w:val="kk-KZ"/>
        </w:rPr>
        <w:t xml:space="preserve"> маманы,</w:t>
      </w:r>
      <w:r w:rsidR="00103979">
        <w:rPr>
          <w:i w:val="0"/>
          <w:lang w:val="kk-KZ"/>
        </w:rPr>
        <w:t xml:space="preserve"> </w:t>
      </w:r>
      <w:r w:rsidRPr="0057359A">
        <w:rPr>
          <w:i w:val="0"/>
          <w:lang w:val="kk-KZ"/>
        </w:rPr>
        <w:t>С-R-</w:t>
      </w:r>
      <w:r w:rsidR="00C825D3">
        <w:rPr>
          <w:i w:val="0"/>
          <w:lang w:val="kk-KZ"/>
        </w:rPr>
        <w:t>4</w:t>
      </w:r>
      <w:r w:rsidRPr="0057359A">
        <w:rPr>
          <w:i w:val="0"/>
          <w:lang w:val="kk-KZ"/>
        </w:rPr>
        <w:t xml:space="preserve"> санаты</w:t>
      </w:r>
      <w:r w:rsidR="00064F68">
        <w:rPr>
          <w:i w:val="0"/>
          <w:lang w:val="kk-KZ"/>
        </w:rPr>
        <w:t>,</w:t>
      </w:r>
      <w:r w:rsidR="00103979">
        <w:rPr>
          <w:i w:val="0"/>
          <w:lang w:val="kk-KZ"/>
        </w:rPr>
        <w:t xml:space="preserve">  </w:t>
      </w:r>
      <w:r w:rsidRPr="0057359A">
        <w:rPr>
          <w:i w:val="0"/>
          <w:lang w:val="kk-KZ"/>
        </w:rPr>
        <w:t>1 бірлік.</w:t>
      </w:r>
    </w:p>
    <w:p w:rsidR="00103979" w:rsidRPr="00A41637" w:rsidRDefault="00BD7ECA" w:rsidP="00103979">
      <w:pPr>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103979"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DE2405">
        <w:rPr>
          <w:b w:val="0"/>
          <w:i w:val="0"/>
          <w:lang w:val="kk-KZ"/>
        </w:rPr>
        <w:t>қ</w:t>
      </w:r>
      <w:r w:rsidR="00103979"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w:t>
      </w:r>
      <w:r w:rsidR="00103979" w:rsidRPr="00A41637">
        <w:rPr>
          <w:b w:val="0"/>
          <w:i w:val="0"/>
          <w:lang w:val="kk-KZ"/>
        </w:rPr>
        <w:lastRenderedPageBreak/>
        <w:t>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103979">
        <w:rPr>
          <w:b w:val="0"/>
          <w:i w:val="0"/>
          <w:lang w:val="kk-KZ"/>
        </w:rPr>
        <w:t>.</w:t>
      </w:r>
      <w:r w:rsidR="00103979"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 xml:space="preserve">Өзара тану және баламалылығы туралы халықаралық шарттардың </w:t>
      </w:r>
      <w:r w:rsidRPr="009438A6">
        <w:rPr>
          <w:b w:val="0"/>
          <w:i w:val="0"/>
          <w:lang w:val="kk-KZ"/>
        </w:rPr>
        <w:lastRenderedPageBreak/>
        <w:t>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DE2405" w:rsidRPr="0057359A">
        <w:rPr>
          <w:rFonts w:eastAsiaTheme="minorEastAsia"/>
          <w:bCs w:val="0"/>
          <w:i w:val="0"/>
          <w:iCs w:val="0"/>
          <w:lang w:val="kk-KZ"/>
        </w:rPr>
        <w:t xml:space="preserve">Түркістан облысы, </w:t>
      </w:r>
      <w:r w:rsidR="00DE2405">
        <w:rPr>
          <w:rFonts w:eastAsiaTheme="minorEastAsia"/>
          <w:bCs w:val="0"/>
          <w:i w:val="0"/>
          <w:iCs w:val="0"/>
          <w:lang w:val="kk-KZ"/>
        </w:rPr>
        <w:t>Түркістан қаласы,Жаңа қала,160 квартал,5 нысан. Байланыс телефоны 8(72533) 5-76-92</w:t>
      </w:r>
      <w:r w:rsidR="003F5E40" w:rsidRPr="0057359A">
        <w:rPr>
          <w:rFonts w:eastAsiaTheme="minorEastAsia"/>
          <w:bCs w:val="0"/>
          <w:i w:val="0"/>
          <w:iCs w:val="0"/>
          <w:lang w:val="kk-KZ"/>
        </w:rPr>
        <w:t xml:space="preserve">, </w:t>
      </w:r>
      <w:r w:rsidR="003F5E40" w:rsidRPr="0057359A">
        <w:rPr>
          <w:rFonts w:eastAsiaTheme="minorEastAsia"/>
          <w:bCs w:val="0"/>
          <w:i w:val="0"/>
          <w:iCs w:val="0"/>
          <w:lang w:val="kk-KZ"/>
        </w:rPr>
        <w:lastRenderedPageBreak/>
        <w:t>электрондық мекен-жайы:</w:t>
      </w:r>
      <w:r w:rsidR="003F5E40" w:rsidRPr="0057359A">
        <w:rPr>
          <w:i w:val="0"/>
          <w:lang w:val="kk-KZ"/>
        </w:rPr>
        <w:t xml:space="preserve"> </w:t>
      </w:r>
      <w:r w:rsidR="00F75F3B" w:rsidRPr="00F75F3B">
        <w:rPr>
          <w:i w:val="0"/>
          <w:color w:val="0070C0"/>
          <w:lang w:val="kk-KZ"/>
        </w:rPr>
        <w:t>d.saparov@kgd.gov.kz</w:t>
      </w:r>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2405" w:rsidRPr="00DE2405">
        <w:rPr>
          <w:rFonts w:eastAsiaTheme="minorEastAsia"/>
          <w:b w:val="0"/>
          <w:bCs w:val="0"/>
          <w:i w:val="0"/>
          <w:iCs w:val="0"/>
          <w:lang w:val="kk-KZ"/>
        </w:rPr>
        <w:t>Түркістан қаласы,Жаңа қала,</w:t>
      </w:r>
      <w:r w:rsidR="00DE2405">
        <w:rPr>
          <w:rFonts w:eastAsiaTheme="minorEastAsia"/>
          <w:b w:val="0"/>
          <w:bCs w:val="0"/>
          <w:i w:val="0"/>
          <w:iCs w:val="0"/>
          <w:lang w:val="kk-KZ"/>
        </w:rPr>
        <w:t>160 квартал,5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Default="00EE173A" w:rsidP="00636F47">
      <w:pPr>
        <w:ind w:left="-284" w:right="178"/>
        <w:jc w:val="both"/>
        <w:rPr>
          <w:b w:val="0"/>
          <w:i w:val="0"/>
          <w:lang w:val="kk-KZ"/>
        </w:rPr>
      </w:pPr>
      <w:r w:rsidRPr="0057359A">
        <w:rPr>
          <w:b w:val="0"/>
          <w:i w:val="0"/>
          <w:lang w:val="kk-KZ"/>
        </w:rPr>
        <w:t xml:space="preserve">           </w:t>
      </w:r>
      <w:r w:rsidR="00757DDB" w:rsidRPr="0057359A">
        <w:rPr>
          <w:b w:val="0"/>
          <w:i w:val="0"/>
          <w:lang w:val="kk-KZ"/>
        </w:rPr>
        <w:t xml:space="preserve">  </w:t>
      </w:r>
    </w:p>
    <w:p w:rsidR="00DE2405" w:rsidRDefault="00DE2405" w:rsidP="00636F47">
      <w:pPr>
        <w:ind w:left="-284" w:right="178"/>
        <w:jc w:val="both"/>
        <w:rPr>
          <w:b w:val="0"/>
          <w:i w:val="0"/>
          <w:lang w:val="kk-KZ"/>
        </w:rPr>
      </w:pPr>
    </w:p>
    <w:p w:rsidR="00DE2405" w:rsidRDefault="00DE2405" w:rsidP="00636F47">
      <w:pPr>
        <w:ind w:left="-284" w:right="178"/>
        <w:jc w:val="both"/>
        <w:rPr>
          <w:b w:val="0"/>
          <w:i w:val="0"/>
          <w:lang w:val="kk-KZ"/>
        </w:rPr>
      </w:pPr>
    </w:p>
    <w:p w:rsidR="00DE2405" w:rsidRDefault="00DE2405" w:rsidP="00636F47">
      <w:pPr>
        <w:ind w:left="-284" w:right="178"/>
        <w:jc w:val="both"/>
        <w:rPr>
          <w:b w:val="0"/>
          <w:i w:val="0"/>
          <w:lang w:val="kk-KZ"/>
        </w:rPr>
      </w:pPr>
    </w:p>
    <w:p w:rsidR="00DE2405" w:rsidRDefault="00DE2405" w:rsidP="00636F47">
      <w:pPr>
        <w:ind w:left="-284" w:right="178"/>
        <w:jc w:val="both"/>
        <w:rPr>
          <w:b w:val="0"/>
          <w:i w:val="0"/>
          <w:lang w:val="kk-KZ"/>
        </w:rPr>
      </w:pPr>
    </w:p>
    <w:p w:rsidR="00DE2405" w:rsidRDefault="00DE2405" w:rsidP="00636F47">
      <w:pPr>
        <w:ind w:left="-284" w:right="178"/>
        <w:jc w:val="both"/>
        <w:rPr>
          <w:b w:val="0"/>
          <w:i w:val="0"/>
          <w:lang w:val="kk-KZ"/>
        </w:rPr>
      </w:pPr>
    </w:p>
    <w:p w:rsidR="00DE2405" w:rsidRDefault="00DE2405" w:rsidP="00636F47">
      <w:pPr>
        <w:ind w:left="-284" w:right="178"/>
        <w:jc w:val="both"/>
        <w:rPr>
          <w:b w:val="0"/>
          <w:i w:val="0"/>
          <w:lang w:val="kk-KZ"/>
        </w:rPr>
      </w:pPr>
    </w:p>
    <w:p w:rsidR="00DE2405" w:rsidRDefault="00DE2405" w:rsidP="00636F47">
      <w:pPr>
        <w:ind w:left="-284" w:right="178"/>
        <w:jc w:val="both"/>
        <w:rPr>
          <w:b w:val="0"/>
          <w:i w:val="0"/>
          <w:lang w:val="kk-KZ"/>
        </w:rPr>
      </w:pPr>
    </w:p>
    <w:p w:rsidR="00DE2405" w:rsidRPr="0057359A" w:rsidRDefault="00DE2405" w:rsidP="00636F47">
      <w:pPr>
        <w:ind w:left="-284" w:right="178"/>
        <w:jc w:val="both"/>
        <w:rPr>
          <w:lang w:val="kk-KZ"/>
        </w:rPr>
      </w:pP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DE2405" w:rsidP="00DE2405">
      <w:pPr>
        <w:contextualSpacing/>
        <w:rPr>
          <w:rFonts w:eastAsiaTheme="minorEastAsia"/>
          <w:b w:val="0"/>
          <w:i w:val="0"/>
          <w:color w:val="000000"/>
          <w:lang w:val="kk-KZ" w:eastAsia="ja-JP"/>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DE2405" w:rsidRDefault="00712585" w:rsidP="00DE2405">
      <w:pPr>
        <w:contextualSpacing/>
        <w:jc w:val="both"/>
        <w:rPr>
          <w:b w:val="0"/>
          <w:bCs w:val="0"/>
          <w:i w:val="0"/>
          <w:lang w:val="kk-KZ"/>
        </w:rPr>
      </w:pPr>
      <w:r w:rsidRPr="00712585">
        <w:rPr>
          <w:b w:val="0"/>
          <w:i w:val="0"/>
          <w:lang w:val="kk-KZ"/>
        </w:rPr>
        <w:br w:type="page"/>
      </w:r>
      <w:r w:rsidR="00DE2405">
        <w:rPr>
          <w:b w:val="0"/>
          <w:bCs w:val="0"/>
          <w:i w:val="0"/>
          <w:lang w:val="kk-KZ"/>
        </w:rPr>
        <w:lastRenderedPageBreak/>
        <w:t xml:space="preserve">                                                                                  </w:t>
      </w: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E2405" w:rsidRDefault="00712585" w:rsidP="00DE240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DE2405" w:rsidRDefault="00712585" w:rsidP="00DE2405">
      <w:pPr>
        <w:ind w:left="6096"/>
        <w:contextualSpacing/>
        <w:rPr>
          <w:rFonts w:eastAsiaTheme="minorEastAsia"/>
          <w:b w:val="0"/>
          <w:i w:val="0"/>
          <w:color w:val="000000"/>
          <w:lang w:val="kk-KZ" w:eastAsia="ja-JP"/>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25703"/>
    <w:rsid w:val="007404AA"/>
    <w:rsid w:val="007476CE"/>
    <w:rsid w:val="00747BC7"/>
    <w:rsid w:val="0075106D"/>
    <w:rsid w:val="00757DDB"/>
    <w:rsid w:val="00767C83"/>
    <w:rsid w:val="00771369"/>
    <w:rsid w:val="00777ADC"/>
    <w:rsid w:val="00780E92"/>
    <w:rsid w:val="00781956"/>
    <w:rsid w:val="00787720"/>
    <w:rsid w:val="007922BD"/>
    <w:rsid w:val="00796D58"/>
    <w:rsid w:val="007A3DB4"/>
    <w:rsid w:val="007A5C8C"/>
    <w:rsid w:val="007B71C1"/>
    <w:rsid w:val="007D75ED"/>
    <w:rsid w:val="008405CE"/>
    <w:rsid w:val="0085555D"/>
    <w:rsid w:val="00856093"/>
    <w:rsid w:val="00861901"/>
    <w:rsid w:val="00861DC4"/>
    <w:rsid w:val="00867F4B"/>
    <w:rsid w:val="008704A2"/>
    <w:rsid w:val="008716F8"/>
    <w:rsid w:val="008C3304"/>
    <w:rsid w:val="008E348D"/>
    <w:rsid w:val="00901062"/>
    <w:rsid w:val="00912C29"/>
    <w:rsid w:val="00916D0C"/>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8367D"/>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405"/>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75F3B"/>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34</cp:revision>
  <cp:lastPrinted>2019-12-23T10:47:00Z</cp:lastPrinted>
  <dcterms:created xsi:type="dcterms:W3CDTF">2019-12-23T10:28:00Z</dcterms:created>
  <dcterms:modified xsi:type="dcterms:W3CDTF">2021-09-14T06:31:00Z</dcterms:modified>
</cp:coreProperties>
</file>