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hyperlink r:id="rId8" w:history="1">
        <w:r w:rsidR="0035533D" w:rsidRPr="00B70C97">
          <w:rPr>
            <w:rStyle w:val="ae"/>
            <w:rFonts w:ascii="Times New Roman" w:hAnsi="Times New Roman"/>
            <w:sz w:val="28"/>
            <w:szCs w:val="28"/>
            <w:lang w:val="kk-KZ"/>
          </w:rPr>
          <w:t>b.rendibaeva@kgd.gov.kz</w:t>
        </w:r>
      </w:hyperlink>
      <w:r w:rsidR="0035533D">
        <w:rPr>
          <w:rFonts w:ascii="Times New Roman" w:hAnsi="Times New Roman"/>
          <w:sz w:val="28"/>
          <w:szCs w:val="28"/>
          <w:lang w:val="kk-KZ"/>
        </w:rPr>
        <w:t>.</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lastRenderedPageBreak/>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 </w:t>
      </w:r>
      <w:r w:rsidR="00CD1272">
        <w:rPr>
          <w:rFonts w:ascii="Times New Roman" w:hAnsi="Times New Roman"/>
          <w:b/>
          <w:sz w:val="28"/>
          <w:szCs w:val="28"/>
          <w:lang w:val="kk-KZ"/>
        </w:rPr>
        <w:t xml:space="preserve">төлеушілермен жұмыс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CD1272" w:rsidRPr="006E6081" w:rsidRDefault="002328EA" w:rsidP="00CD1272">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CD1272" w:rsidRPr="002E4455">
        <w:rPr>
          <w:rFonts w:ascii="Times New Roman" w:hAnsi="Times New Roman" w:cs="Times New Roman"/>
          <w:sz w:val="28"/>
          <w:szCs w:val="28"/>
          <w:lang w:val="kk-KZ"/>
        </w:rPr>
        <w:t>Бөлім</w:t>
      </w:r>
      <w:r w:rsidR="00CD1272">
        <w:rPr>
          <w:rFonts w:ascii="Times New Roman" w:hAnsi="Times New Roman" w:cs="Times New Roman"/>
          <w:sz w:val="28"/>
          <w:szCs w:val="28"/>
          <w:lang w:val="kk-KZ"/>
        </w:rPr>
        <w:t xml:space="preserve">  жұмысына басшылық жасау,</w:t>
      </w:r>
      <w:r w:rsidR="00CD1272" w:rsidRPr="007B7499">
        <w:rPr>
          <w:rFonts w:ascii="Times New Roman" w:hAnsi="Times New Roman" w:cs="Times New Roman"/>
          <w:sz w:val="28"/>
          <w:szCs w:val="28"/>
          <w:lang w:val="kk-KZ"/>
        </w:rPr>
        <w:t>Салық төлеушілердің бет есептегі салық және басқа да төлемдер бойынша артық   төленген төлемдерді уақтылы басқа салық қары</w:t>
      </w:r>
      <w:r w:rsidR="00CD1272">
        <w:rPr>
          <w:rFonts w:ascii="Times New Roman" w:hAnsi="Times New Roman" w:cs="Times New Roman"/>
          <w:sz w:val="28"/>
          <w:szCs w:val="28"/>
          <w:lang w:val="kk-KZ"/>
        </w:rPr>
        <w:t>здарына аударуды немесе өз есеп</w:t>
      </w:r>
      <w:r w:rsidR="00CD1272" w:rsidRPr="007B7499">
        <w:rPr>
          <w:rFonts w:ascii="Times New Roman" w:hAnsi="Times New Roman" w:cs="Times New Roman"/>
          <w:sz w:val="28"/>
          <w:szCs w:val="28"/>
          <w:lang w:val="kk-KZ"/>
        </w:rPr>
        <w:t xml:space="preserve">   шотына қайт</w:t>
      </w:r>
      <w:r w:rsidR="00CD1272">
        <w:rPr>
          <w:rFonts w:ascii="Times New Roman" w:hAnsi="Times New Roman" w:cs="Times New Roman"/>
          <w:sz w:val="28"/>
          <w:szCs w:val="28"/>
          <w:lang w:val="kk-KZ"/>
        </w:rPr>
        <w:t>арылуы туралы өтінішін қабылдау,</w:t>
      </w:r>
      <w:r w:rsidR="00CD1272" w:rsidRPr="00E10CD6">
        <w:rPr>
          <w:rFonts w:ascii="Times New Roman" w:hAnsi="Times New Roman" w:cs="Times New Roman"/>
          <w:sz w:val="28"/>
          <w:szCs w:val="28"/>
          <w:lang w:val="kk-KZ"/>
        </w:rPr>
        <w:t xml:space="preserve">Мемлекеттік кірістер департаментінің басшыларына және басқа мемлекеттік органдарға  аналитикалық мәлімет дайындау, жоспардың орындалуын қамтамасыз ету бағытында тиісті  іс   шаралар </w:t>
      </w:r>
      <w:r w:rsidR="00CD1272">
        <w:rPr>
          <w:rFonts w:ascii="Times New Roman" w:hAnsi="Times New Roman" w:cs="Times New Roman"/>
          <w:sz w:val="28"/>
          <w:szCs w:val="28"/>
          <w:lang w:val="kk-KZ"/>
        </w:rPr>
        <w:t xml:space="preserve"> </w:t>
      </w:r>
      <w:r w:rsidR="00CD1272" w:rsidRPr="00E10CD6">
        <w:rPr>
          <w:rFonts w:ascii="Times New Roman" w:hAnsi="Times New Roman" w:cs="Times New Roman"/>
          <w:sz w:val="28"/>
          <w:szCs w:val="28"/>
          <w:lang w:val="kk-KZ"/>
        </w:rPr>
        <w:t>жүргізуге  ұсыныстар жасау, қосымша  түсім көздерін табу , түсімді көб</w:t>
      </w:r>
      <w:r w:rsidR="00CD1272">
        <w:rPr>
          <w:rFonts w:ascii="Times New Roman" w:hAnsi="Times New Roman" w:cs="Times New Roman"/>
          <w:sz w:val="28"/>
          <w:szCs w:val="28"/>
          <w:lang w:val="kk-KZ"/>
        </w:rPr>
        <w:t>ейту бағытында ұсыныстар енгізу,ә</w:t>
      </w:r>
      <w:r w:rsidR="00CD1272" w:rsidRPr="006E6081">
        <w:rPr>
          <w:rFonts w:ascii="Times New Roman" w:hAnsi="Times New Roman" w:cs="Times New Roman"/>
          <w:sz w:val="28"/>
          <w:szCs w:val="28"/>
          <w:lang w:val="kk-KZ"/>
        </w:rPr>
        <w:t xml:space="preserve">рекетсіз салық төлеушілерді анықтау, тізбе </w:t>
      </w:r>
      <w:r w:rsidR="00CD1272">
        <w:rPr>
          <w:rFonts w:ascii="Times New Roman" w:hAnsi="Times New Roman" w:cs="Times New Roman"/>
          <w:sz w:val="28"/>
          <w:szCs w:val="28"/>
          <w:lang w:val="kk-KZ"/>
        </w:rPr>
        <w:t xml:space="preserve">жасау, бұйрық жобасын дайындау, </w:t>
      </w:r>
      <w:r w:rsidR="00CD1272" w:rsidRPr="006E6081">
        <w:rPr>
          <w:rFonts w:ascii="Times New Roman" w:hAnsi="Times New Roman" w:cs="Times New Roman"/>
          <w:sz w:val="28"/>
          <w:szCs w:val="28"/>
          <w:lang w:val="kk-KZ"/>
        </w:rPr>
        <w:t>ҚҚС  оңайлатылған қайтару бойынша</w:t>
      </w:r>
      <w:r w:rsidR="00CD1272">
        <w:rPr>
          <w:rFonts w:ascii="Times New Roman" w:hAnsi="Times New Roman" w:cs="Times New Roman"/>
          <w:sz w:val="28"/>
          <w:szCs w:val="28"/>
          <w:lang w:val="kk-KZ"/>
        </w:rPr>
        <w:t xml:space="preserve"> мерзімінде өңдеу сұраныстарды </w:t>
      </w:r>
      <w:r w:rsidR="00CD1272" w:rsidRPr="006E6081">
        <w:rPr>
          <w:rFonts w:ascii="Times New Roman" w:hAnsi="Times New Roman" w:cs="Times New Roman"/>
          <w:sz w:val="28"/>
          <w:szCs w:val="28"/>
          <w:lang w:val="kk-KZ"/>
        </w:rPr>
        <w:t>өңдеу;</w:t>
      </w:r>
    </w:p>
    <w:p w:rsidR="002328EA" w:rsidRDefault="00A110D2" w:rsidP="00CB060A">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w:t>
      </w:r>
      <w:r w:rsidR="002877EE" w:rsidRPr="0095169E">
        <w:rPr>
          <w:rFonts w:ascii="Times New Roman" w:hAnsi="Times New Roman" w:cs="Times New Roman"/>
          <w:sz w:val="28"/>
          <w:szCs w:val="28"/>
          <w:lang w:val="kk-KZ"/>
        </w:rPr>
        <w:lastRenderedPageBreak/>
        <w:t xml:space="preserve">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CD1272"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D1272">
        <w:rPr>
          <w:rFonts w:ascii="Times New Roman" w:hAnsi="Times New Roman" w:cs="Times New Roman"/>
          <w:sz w:val="28"/>
          <w:szCs w:val="28"/>
          <w:lang w:val="kk-KZ"/>
        </w:rPr>
        <w:t>Қоса</w:t>
      </w:r>
      <w:r w:rsidR="00EA1586"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берілген</w:t>
      </w:r>
      <w:r w:rsidR="00F756A5"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құжаттар:</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w:t>
      </w:r>
      <w:r w:rsidR="009F609E" w:rsidRPr="00CD1272">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CD1272">
        <w:rPr>
          <w:rFonts w:ascii="Times New Roman" w:hAnsi="Times New Roman" w:cs="Times New Roman"/>
          <w:sz w:val="28"/>
          <w:szCs w:val="28"/>
          <w:lang w:val="kk-KZ"/>
        </w:rPr>
        <w:t>_______________________________________________________</w:t>
      </w:r>
      <w:r w:rsidR="009F609E" w:rsidRPr="00CD1272">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1F" w:rsidRDefault="00890F1F" w:rsidP="0097579D">
      <w:pPr>
        <w:spacing w:after="0" w:line="240" w:lineRule="auto"/>
      </w:pPr>
      <w:r>
        <w:separator/>
      </w:r>
    </w:p>
  </w:endnote>
  <w:endnote w:type="continuationSeparator" w:id="0">
    <w:p w:rsidR="00890F1F" w:rsidRDefault="00890F1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5A4426">
        <w:pPr>
          <w:pStyle w:val="aa"/>
          <w:jc w:val="center"/>
        </w:pPr>
        <w:r>
          <w:fldChar w:fldCharType="begin"/>
        </w:r>
        <w:r w:rsidR="0084074D">
          <w:instrText xml:space="preserve"> PAGE   \* MERGEFORMAT </w:instrText>
        </w:r>
        <w:r>
          <w:fldChar w:fldCharType="separate"/>
        </w:r>
        <w:r w:rsidR="00CD1272">
          <w:rPr>
            <w:noProof/>
          </w:rPr>
          <w:t>4</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1F" w:rsidRDefault="00890F1F" w:rsidP="0097579D">
      <w:pPr>
        <w:spacing w:after="0" w:line="240" w:lineRule="auto"/>
      </w:pPr>
      <w:r>
        <w:separator/>
      </w:r>
    </w:p>
  </w:footnote>
  <w:footnote w:type="continuationSeparator" w:id="0">
    <w:p w:rsidR="00890F1F" w:rsidRDefault="00890F1F"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5A4426">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3227"/>
    <w:rsid w:val="00060CDE"/>
    <w:rsid w:val="00064716"/>
    <w:rsid w:val="000650AB"/>
    <w:rsid w:val="0006665B"/>
    <w:rsid w:val="00070345"/>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A4426"/>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6C25"/>
    <w:rsid w:val="007C79FC"/>
    <w:rsid w:val="007D1F07"/>
    <w:rsid w:val="007D56DC"/>
    <w:rsid w:val="007E1478"/>
    <w:rsid w:val="00811113"/>
    <w:rsid w:val="008120AF"/>
    <w:rsid w:val="0081473F"/>
    <w:rsid w:val="008213F7"/>
    <w:rsid w:val="00822572"/>
    <w:rsid w:val="0084074D"/>
    <w:rsid w:val="008420EC"/>
    <w:rsid w:val="00856511"/>
    <w:rsid w:val="008606B4"/>
    <w:rsid w:val="00862BDB"/>
    <w:rsid w:val="008654EC"/>
    <w:rsid w:val="00866232"/>
    <w:rsid w:val="00881F8F"/>
    <w:rsid w:val="008845AE"/>
    <w:rsid w:val="0088782E"/>
    <w:rsid w:val="00890F1F"/>
    <w:rsid w:val="0089691A"/>
    <w:rsid w:val="0089730A"/>
    <w:rsid w:val="008C6237"/>
    <w:rsid w:val="008E6118"/>
    <w:rsid w:val="009021CF"/>
    <w:rsid w:val="00913934"/>
    <w:rsid w:val="00917E12"/>
    <w:rsid w:val="009201E6"/>
    <w:rsid w:val="0092119F"/>
    <w:rsid w:val="009213D8"/>
    <w:rsid w:val="00921F66"/>
    <w:rsid w:val="00922D78"/>
    <w:rsid w:val="00923A36"/>
    <w:rsid w:val="00927E5F"/>
    <w:rsid w:val="00933290"/>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97"/>
    <w:rsid w:val="00C71957"/>
    <w:rsid w:val="00C74CD0"/>
    <w:rsid w:val="00C77412"/>
    <w:rsid w:val="00C828DA"/>
    <w:rsid w:val="00C853F2"/>
    <w:rsid w:val="00C85C64"/>
    <w:rsid w:val="00CB060A"/>
    <w:rsid w:val="00CC372D"/>
    <w:rsid w:val="00CC3E7A"/>
    <w:rsid w:val="00CC6F39"/>
    <w:rsid w:val="00CD1272"/>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32E5-85B5-402F-B5F9-32E2072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90</cp:revision>
  <cp:lastPrinted>2020-05-13T11:28:00Z</cp:lastPrinted>
  <dcterms:created xsi:type="dcterms:W3CDTF">2020-05-20T11:14:00Z</dcterms:created>
  <dcterms:modified xsi:type="dcterms:W3CDTF">2020-09-30T12:32:00Z</dcterms:modified>
</cp:coreProperties>
</file>