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4F" w:rsidRDefault="004E514F" w:rsidP="005C4965">
      <w:pPr>
        <w:spacing w:after="0"/>
        <w:jc w:val="both"/>
        <w:rPr>
          <w:b/>
          <w:color w:val="000000"/>
        </w:rPr>
      </w:pPr>
      <w:r w:rsidRPr="00641682">
        <w:rPr>
          <w:b/>
          <w:color w:val="000000"/>
          <w:lang w:val="ru-RU"/>
        </w:rPr>
        <w:t>КАМЕРАЛЬНЫЙ КОНТРОЛЬ</w:t>
      </w:r>
      <w:r w:rsidRPr="005C4965">
        <w:rPr>
          <w:b/>
          <w:color w:val="000000"/>
          <w:lang w:val="ru-RU"/>
        </w:rPr>
        <w:t xml:space="preserve"> 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0" w:name="_GoBack"/>
      <w:bookmarkEnd w:id="0"/>
      <w:r w:rsidRPr="005C4965">
        <w:rPr>
          <w:b/>
          <w:color w:val="000000"/>
          <w:lang w:val="ru-RU"/>
        </w:rPr>
        <w:t xml:space="preserve">Статья 94. Камеральный контроль 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1" w:name="z2325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1. Камеральным контролем является контроль, осуществляемый налоговыми органами на основе изучения и анализа представленной налогоплательщиком (налоговым агентом) налоговой отчетности, сведений уполномоченных государственных органов, а также других документов и сведений о деятельности налогоплательщика. 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2" w:name="z2326"/>
      <w:bookmarkEnd w:id="1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Камеральный контроль является составной частью системы управления рисками. 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3" w:name="z2327"/>
      <w:bookmarkEnd w:id="2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2. Целью камерального контроля является предоставление налогоплательщику права самостоятельного устранения нарушений, выявленных налоговыми органами по результатам камерального контроля, путем постановки на регистрационный учет в налоговых органах и (или) представления налоговой отчетности в соответствии со статьей 96 настоящего Кодекса и (или) уплаты налогов и платежей в бюджет.</w:t>
      </w:r>
    </w:p>
    <w:bookmarkEnd w:id="3"/>
    <w:p w:rsidR="005C4965" w:rsidRPr="005C4965" w:rsidRDefault="005C4965" w:rsidP="005C4965">
      <w:pPr>
        <w:spacing w:after="0"/>
        <w:jc w:val="both"/>
        <w:rPr>
          <w:lang w:val="ru-RU"/>
        </w:rPr>
      </w:pPr>
      <w:r w:rsidRPr="005C4965">
        <w:rPr>
          <w:b/>
          <w:color w:val="000000"/>
          <w:lang w:val="ru-RU"/>
        </w:rPr>
        <w:t>Статья 95. Порядок и сроки проведения камерального контроля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4" w:name="z2328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1. Камеральный контроль проводится путем сопоставления следующих данных, имеющихся в налоговых органах: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5" w:name="z2329"/>
      <w:bookmarkEnd w:id="4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1) налоговой отчетности;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6" w:name="z2330"/>
      <w:bookmarkEnd w:id="5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2) сведений иных государственных органов об объектах налогообложения и (или) объектах, связанных с налогообложением;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7" w:name="z2331"/>
      <w:bookmarkEnd w:id="6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3) сведений, полученных из различных источников информации, по деятельности налогоплательщика;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8" w:name="z2332"/>
      <w:bookmarkEnd w:id="7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4) иной отчетности, установленной настоящим Кодексом.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9" w:name="z2333"/>
      <w:bookmarkEnd w:id="8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2. Камеральный контроль проводится за соответствующий налоговый период после истечения срока представления налоговой отчетности за такой период, установленного настоящим Кодексом.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10" w:name="z2334"/>
      <w:bookmarkEnd w:id="9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3. Камеральный контроль осуществляется в течение срока исковой давности с учетом положений, установленных статьей 48 настоящего Кодекса.</w:t>
      </w:r>
    </w:p>
    <w:bookmarkEnd w:id="10"/>
    <w:p w:rsidR="005C4965" w:rsidRPr="005C4965" w:rsidRDefault="005C4965" w:rsidP="005C4965">
      <w:pPr>
        <w:spacing w:after="0"/>
        <w:jc w:val="both"/>
        <w:rPr>
          <w:lang w:val="ru-RU"/>
        </w:rPr>
      </w:pPr>
      <w:r w:rsidRPr="005C4965">
        <w:rPr>
          <w:b/>
          <w:color w:val="000000"/>
          <w:lang w:val="ru-RU"/>
        </w:rPr>
        <w:t xml:space="preserve">Статья 96. Результаты камерального контроля 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11" w:name="z2335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1. В случае выявления нарушений по результатам камерального контроля оформляются: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12" w:name="z2336"/>
      <w:bookmarkEnd w:id="11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по нарушениям с высокой степенью риска – уведомление об устранении нарушений, выявленных налоговыми органами по результатам камерального контроля, с приложением описания выявленных нарушений;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13" w:name="z2337"/>
      <w:bookmarkEnd w:id="12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по нарушениям со средней степенью риска – извещение о нарушениях, выявленных по результатам камерального контроля, с приложением описания выявленных нарушений.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14" w:name="z2338"/>
      <w:bookmarkEnd w:id="13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Извещение о нарушениях, выявленных по результатам камерального контроля, направляется налогоплательщику (налоговому агенту) в срок, не позднее десяти рабочих дней со дня выявления нарушений в налоговой отчетности, для сведения.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15" w:name="z2339"/>
      <w:bookmarkEnd w:id="14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Форма извещения о нарушениях, выявленных по результатам камерального контроля, устанавливается уполномоченным органом.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16" w:name="z2340"/>
      <w:bookmarkEnd w:id="15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Положения настоящего пункта не распространяются на нарушения с незначительной степенью риска, выявленные по результатам камерального контроля, и учитываются в системе управления рисками.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17" w:name="z2341"/>
      <w:bookmarkEnd w:id="16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2. Исполнение уведомления об устранении нарушений, выявленных налоговыми органами по результатам камерального контроля, осуществляется налогоплательщиком (налоговым агентом) в течение тридцати рабочих дней со дня, следующего за днем его вручения (получения).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18" w:name="z2342"/>
      <w:bookmarkEnd w:id="17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Исполнением налогоплательщиком (налоговым агентом) уведомления об устранении нарушений, выявленных налоговыми органами по результатам камерального контроля, признается: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19" w:name="z2343"/>
      <w:bookmarkEnd w:id="18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1) в случае согласия с указанными в уведомлении нарушениями – устранение выявленных нарушений налогоплательщиком (</w:t>
      </w:r>
      <w:proofErr w:type="gramStart"/>
      <w:r w:rsidRPr="005C4965">
        <w:rPr>
          <w:color w:val="000000"/>
          <w:lang w:val="ru-RU"/>
        </w:rPr>
        <w:t>налоговый</w:t>
      </w:r>
      <w:proofErr w:type="gramEnd"/>
      <w:r w:rsidRPr="005C4965">
        <w:rPr>
          <w:color w:val="000000"/>
          <w:lang w:val="ru-RU"/>
        </w:rPr>
        <w:t xml:space="preserve"> агентом) путем: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20" w:name="z2344"/>
      <w:bookmarkEnd w:id="19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постановки на регистрационный учет в налоговых органах;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21" w:name="z2345"/>
      <w:bookmarkEnd w:id="20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представления налоговой отчетности по уведомлению за налоговый период, к которому относятся выявленные нарушения;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22" w:name="z2346"/>
      <w:bookmarkEnd w:id="21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уплаты суммы налога на добавленную стоимость в бюджет, ранее возвращенной из бюджета по требованию налогоплательщика о возврате налога на добавленную стоимость, а также уплаты пени в размере, указанном в пункте 4 статьи 104 настоящего Кодекса, за каждый день </w:t>
      </w:r>
      <w:proofErr w:type="gramStart"/>
      <w:r w:rsidRPr="005C4965">
        <w:rPr>
          <w:color w:val="000000"/>
          <w:lang w:val="ru-RU"/>
        </w:rPr>
        <w:t>с даты перечисления</w:t>
      </w:r>
      <w:proofErr w:type="gramEnd"/>
      <w:r w:rsidRPr="005C4965">
        <w:rPr>
          <w:color w:val="000000"/>
          <w:lang w:val="ru-RU"/>
        </w:rPr>
        <w:t xml:space="preserve"> налогоплательщику таких сумм;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23" w:name="z2347"/>
      <w:bookmarkEnd w:id="22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</w:t>
      </w:r>
      <w:proofErr w:type="gramStart"/>
      <w:r w:rsidRPr="005C4965">
        <w:rPr>
          <w:color w:val="000000"/>
          <w:lang w:val="ru-RU"/>
        </w:rPr>
        <w:t>2) в случае несогласия с указанными в уведомлении нарушениями – представление налогоплательщиком (налоговый агентом) пояснения по выявленным нарушениям на бумажном или электронном носителе в налоговый орган, направивший уведомление об устранении нарушений, выявленных налоговыми органами по результатам камерального контроля, за исключением случаев, предусмотренных пунктом 3 настоящей статьи.</w:t>
      </w:r>
      <w:proofErr w:type="gramEnd"/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24" w:name="z2348"/>
      <w:bookmarkEnd w:id="23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В пояснении должны быть указаны: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25" w:name="z2349"/>
      <w:bookmarkEnd w:id="24"/>
      <w:r w:rsidRPr="005C4965">
        <w:rPr>
          <w:color w:val="000000"/>
        </w:rPr>
        <w:lastRenderedPageBreak/>
        <w:t>     </w:t>
      </w:r>
      <w:r w:rsidRPr="005C4965">
        <w:rPr>
          <w:color w:val="000000"/>
          <w:lang w:val="ru-RU"/>
        </w:rPr>
        <w:t xml:space="preserve"> дата подписания пояснения налогоплательщиком (налоговым агентом);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26" w:name="z2350"/>
      <w:bookmarkEnd w:id="25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фамилия, имя и отчество (если оно указано в документе, удостоверяющем личность) либо полное наименование лица, представившего пояснение, его место жительства (место нахождения);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27" w:name="z2351"/>
      <w:bookmarkEnd w:id="26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идентификационный номер налогоплательщика (налогового агента);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28" w:name="z2352"/>
      <w:bookmarkEnd w:id="27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наименование налогового органа, направившего уведомление об устранении нарушений, выявленных налоговыми органами по результатам камерального контроля;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29" w:name="z2353"/>
      <w:bookmarkEnd w:id="28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номер и дата уведомления, на которое представляется пояснение;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30" w:name="z2354"/>
      <w:bookmarkEnd w:id="29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обстоятельства, являющиеся основаниями и доказательствами несогласия лица, представившего пояснение.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31" w:name="z2355"/>
      <w:bookmarkEnd w:id="30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В случае</w:t>
      </w:r>
      <w:proofErr w:type="gramStart"/>
      <w:r w:rsidRPr="005C4965">
        <w:rPr>
          <w:color w:val="000000"/>
          <w:lang w:val="ru-RU"/>
        </w:rPr>
        <w:t>,</w:t>
      </w:r>
      <w:proofErr w:type="gramEnd"/>
      <w:r w:rsidRPr="005C4965">
        <w:rPr>
          <w:color w:val="000000"/>
          <w:lang w:val="ru-RU"/>
        </w:rPr>
        <w:t xml:space="preserve"> если в пояснении в качестве основания для несогласия лица, представившего пояснение, в качестве подтверждения доказательств указываются документы, то копии документов, указанных в пояснении, кроме налоговой отчетности, обязательно прилагаются к пояснению.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32" w:name="z2356"/>
      <w:bookmarkEnd w:id="31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Представление иных документов в рамках исполнения уведомления путем представления пояснения не требуется.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33" w:name="z2357"/>
      <w:bookmarkEnd w:id="32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3. Налогоплательщик не вправе представлять пояснение, указанное в подпункте 2) пункта 2 настоящей статьи, по следующим нарушениям, выявленным налоговыми органами по результатам камерального контроля: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34" w:name="z2358"/>
      <w:bookmarkEnd w:id="33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1)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товарам, работам, услугам: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35" w:name="z2359"/>
      <w:bookmarkEnd w:id="34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на основании счета-фактуры и (или) иного документа, действие (действия) по выписке которых признаны вступившим в законную силу судебным актом совершенным (совершенными) субъектом частного предпринимательства без фактического выполнения работ, оказания услуг, отгрузки товаров;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36" w:name="z2360"/>
      <w:bookmarkEnd w:id="35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по сделкам, признанным недействительными на основании вступившего в законную силу решения суда;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37" w:name="z2361"/>
      <w:bookmarkEnd w:id="36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2) при отнесении на вычеты расходов при исчислении корпоративного подоходного налога по операциям, совершенным без фактического выполнения работ, оказания услуг, отгрузки товаров с налогоплательщиком, руководитель и (или) учредитель (участник) которого не причастен к регистрации (перерегистрации) и (или) осуществлению финансово-хозяйственной деятельности такого юридического лица, установленных решением суда, вступившим в законную силу;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38" w:name="z2362"/>
      <w:bookmarkEnd w:id="37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3) при отнесении в зачет суммы налога на добавленную стоимость по приобретенным товарам, работам, услугам: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39" w:name="z2363"/>
      <w:bookmarkEnd w:id="38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по сделкам (операциям) с юридическими лицами и (или) индивидуальными предпринимателями, чья регистрация признана недействительной на основании вступившего в законную силу решения суда;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40" w:name="z2364"/>
      <w:bookmarkEnd w:id="39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по сделкам (операциям) с юридическими лицами, чья перерегистрация признана недействительной на основании вступившего в законную силу решения суда.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41" w:name="z2365"/>
      <w:bookmarkEnd w:id="40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4. В случае признания уведомления не исполненным налоговый орган выносит решение о признании уведомления об устранении нарушений, выявленных налоговыми органами по результатам камерального контроля, не исполненным по форме и в сроки, которые установлены уполномоченным органом, и направляет его налогоплательщику одним из следующих способов: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42" w:name="z14904"/>
      <w:bookmarkEnd w:id="41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1) по почте заказным письмом с уведомлением;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43" w:name="z14905"/>
      <w:bookmarkEnd w:id="42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2) электронным способом в веб-приложение или в личный кабинет пользователя на веб-портале "электронного правительства";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44" w:name="z14906"/>
      <w:bookmarkEnd w:id="43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3) вручает его налогоплательщику под роспись.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45" w:name="z14907"/>
      <w:bookmarkEnd w:id="44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При этом решение, направленное одним из нижеперечисленных способов, считается врученным налогоплательщику (налоговому агенту) в следующих случаях: 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46" w:name="z14908"/>
      <w:bookmarkEnd w:id="45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1) по почте заказным письмом с уведомлением – </w:t>
      </w:r>
      <w:proofErr w:type="gramStart"/>
      <w:r w:rsidRPr="005C4965">
        <w:rPr>
          <w:color w:val="000000"/>
          <w:lang w:val="ru-RU"/>
        </w:rPr>
        <w:t>с даты отметки</w:t>
      </w:r>
      <w:proofErr w:type="gramEnd"/>
      <w:r w:rsidRPr="005C4965">
        <w:rPr>
          <w:color w:val="000000"/>
          <w:lang w:val="ru-RU"/>
        </w:rPr>
        <w:t xml:space="preserve"> налогоплательщиком (налоговым агентом) в уведомлении почтовой или иной организации связи. При этом такое решение должно быть доставлено почтовой или иной организацией связи в срок не позднее десяти рабочих дней </w:t>
      </w:r>
      <w:proofErr w:type="gramStart"/>
      <w:r w:rsidRPr="005C4965">
        <w:rPr>
          <w:color w:val="000000"/>
          <w:lang w:val="ru-RU"/>
        </w:rPr>
        <w:t>с даты отметки</w:t>
      </w:r>
      <w:proofErr w:type="gramEnd"/>
      <w:r w:rsidRPr="005C4965">
        <w:rPr>
          <w:color w:val="000000"/>
          <w:lang w:val="ru-RU"/>
        </w:rPr>
        <w:t xml:space="preserve"> о приеме почтовой или иной организацией связи;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47" w:name="z14909"/>
      <w:bookmarkEnd w:id="46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2) электронным способом: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48" w:name="z14910"/>
      <w:bookmarkEnd w:id="47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</w:t>
      </w:r>
      <w:proofErr w:type="gramStart"/>
      <w:r w:rsidRPr="005C4965">
        <w:rPr>
          <w:color w:val="000000"/>
          <w:lang w:val="ru-RU"/>
        </w:rPr>
        <w:t>с даты доставки</w:t>
      </w:r>
      <w:proofErr w:type="gramEnd"/>
      <w:r w:rsidRPr="005C4965">
        <w:rPr>
          <w:color w:val="000000"/>
          <w:lang w:val="ru-RU"/>
        </w:rPr>
        <w:t xml:space="preserve"> решения налоговым органом в веб-приложение.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49" w:name="z14911"/>
      <w:bookmarkEnd w:id="48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Данный способ распространяется на налогоплательщика, зарегистрированного в качестве электронного налогоплательщика, в порядке, установленном статьей 86 настоящего Кодекса;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50" w:name="z14912"/>
      <w:bookmarkEnd w:id="49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</w:t>
      </w:r>
      <w:proofErr w:type="gramStart"/>
      <w:r w:rsidRPr="005C4965">
        <w:rPr>
          <w:color w:val="000000"/>
          <w:lang w:val="ru-RU"/>
        </w:rPr>
        <w:t>с даты доставки</w:t>
      </w:r>
      <w:proofErr w:type="gramEnd"/>
      <w:r w:rsidRPr="005C4965">
        <w:rPr>
          <w:color w:val="000000"/>
          <w:lang w:val="ru-RU"/>
        </w:rPr>
        <w:t xml:space="preserve"> решения в личный кабинет пользователя на веб-портале "электронного правительства".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51" w:name="z14913"/>
      <w:bookmarkEnd w:id="50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Данный способ распространяется на налогоплательщика, зарегистрированного на веб-портале "электронного правительства";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52" w:name="z14914"/>
      <w:bookmarkEnd w:id="51"/>
      <w:r w:rsidRPr="005C4965">
        <w:rPr>
          <w:color w:val="000000"/>
        </w:rPr>
        <w:lastRenderedPageBreak/>
        <w:t>     </w:t>
      </w:r>
      <w:r w:rsidRPr="005C4965">
        <w:rPr>
          <w:color w:val="000000"/>
          <w:lang w:val="ru-RU"/>
        </w:rPr>
        <w:t xml:space="preserve"> 3) через Государственную корпорацию "Правительство для граждан" – </w:t>
      </w:r>
      <w:proofErr w:type="gramStart"/>
      <w:r w:rsidRPr="005C4965">
        <w:rPr>
          <w:color w:val="000000"/>
          <w:lang w:val="ru-RU"/>
        </w:rPr>
        <w:t>с даты</w:t>
      </w:r>
      <w:proofErr w:type="gramEnd"/>
      <w:r w:rsidRPr="005C4965">
        <w:rPr>
          <w:color w:val="000000"/>
          <w:lang w:val="ru-RU"/>
        </w:rPr>
        <w:t xml:space="preserve"> его получения в явочном порядке.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53" w:name="z14915"/>
      <w:bookmarkEnd w:id="52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4-1. Обжалование налогоплательщиком (налоговым агентом) решения, указанного в пункте 4 настоящей статьи, производится в течение пяти рабочих дней со дня его вручения (получения) в вышестоящий налоговый орган и (или) уполномоченный орган или суд. 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54" w:name="z14916"/>
      <w:bookmarkEnd w:id="53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При этом копия жалобы должна быть направлена налогоплательщиком (налоговым агентом) в налоговый орган, направивший решение, указанное в пункте 4 настоящей статьи.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55" w:name="z14917"/>
      <w:bookmarkEnd w:id="54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4-2. В случае пропуска по уважительной причине срока, установленного пунктом 4-1 настоящей статьи, этот срок по ходатайству налогоплательщика (налогового агента), подающего жалобу, восстанавливается налоговым органом и (или) уполномоченным органом, рассматривающим жалобу.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56" w:name="z14918"/>
      <w:bookmarkEnd w:id="55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В целях восстановления пропущенного срока подачи жалобы налоговым органом, рассматривающим жалобу, в качестве уважительной причины признается временная нетрудоспособность физического лица, которому направлено решение, указанное в пункте 4 настоящей статьи, а также руководителя и (или) главного бухгалтера (при его наличии) налогоплательщика (налогового агента).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57" w:name="z14919"/>
      <w:bookmarkEnd w:id="56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Положения настоящего пункта применяются к физическим лицам, которым направлено решение, указанное в пункте 4 настоящей статьи, а также к налогоплательщикам (налоговым агентам), организационная структура которых не предусматривает наличия лиц, замещающих вышеуказанных лиц во время их отсутствия. 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58" w:name="z14920"/>
      <w:bookmarkEnd w:id="57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При этом налогоплательщиком (налоговым агентом) к ходатайству о восстановлении пропущенного срока подачи жалобы должны быть приложены документ, подтверждающий период временной нетрудоспособности лиц, указанных в части второй настоящего пункта, и документ, устанавливающий организационную структуру такого налогоплательщика (налогового агента).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59" w:name="z14921"/>
      <w:bookmarkEnd w:id="58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Ходатайство налогоплательщика (налогового агента) о восстановлении пропущенного срока подачи жалобы удовлетворяется налоговым органом и (или) уполномоченным органом, рассматривающим жалобу, при условии, что налогоплательщиком (налоговым агентом) жалоба и ходатайство поданы не позднее десяти рабочих дней со дня окончания периода временной нетрудоспособности лиц, указанных в части второй настоящего пункта.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60" w:name="z14922"/>
      <w:bookmarkEnd w:id="59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4-3. Приостановление расходных операций по банковским счетам налогоплательщика (налогового агента) не осуществляется при подаче им жалобы на решение, указанное в пункте 4 настоящей статьи: 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61" w:name="z14923"/>
      <w:bookmarkEnd w:id="60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1) со дня принятия жалобы вышестоящим налоговым органом и (или) уполномоченным органом – до вынесения письменного решения вышестоящего налогового органа и (или) уполномоченного органа;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62" w:name="z14924"/>
      <w:bookmarkEnd w:id="61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2) со дня принятия судом жалобы (заявления) к производству – до вступления в законную силу судебного акта.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63" w:name="z2369"/>
      <w:bookmarkEnd w:id="62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5. При подаче жалобы на уведомление об устранении нарушений, выявленных налоговыми органами по результатам камерального контроля, в вышестоящий налоговый орган и (или) уполномоченный орган или суд, течение срока исполнения уведомления об устранении нарушений, выявленных налоговыми органами по результатам камерального контроля, приостанавливается: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64" w:name="z2370"/>
      <w:bookmarkEnd w:id="63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1) со дня принятия жалобы вышестоящим налоговым органом и (или) уполномоченным органом – до вынесения письменного решения вышестоящего налогового органа и (или) уполномоченного органа;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65" w:name="z2371"/>
      <w:bookmarkEnd w:id="64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2) со дня принятия судом жалобы (заявления) к производству – до вступления в законную силу судебного акта.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66" w:name="z2372"/>
      <w:bookmarkEnd w:id="65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</w:t>
      </w:r>
      <w:proofErr w:type="gramStart"/>
      <w:r w:rsidRPr="005C4965">
        <w:rPr>
          <w:color w:val="000000"/>
          <w:lang w:val="ru-RU"/>
        </w:rPr>
        <w:t>При этом в случаях подачи жалобы в суд на действия (бездействие) должностных лиц налоговых органов по направлению уведомления об устранении нарушений, предусмотренных подпунктами 2) и 3) пункта 3 настоящей статьи, выявленных налоговыми органами по результатам камерального контроля, налогоплательщик вправе доказать фактическое получение товаров, работ, услуг от юридического лица и (или) индивидуального предпринимателя, регистрация (перерегистрация) которых признана недействительной на основании вступившего</w:t>
      </w:r>
      <w:proofErr w:type="gramEnd"/>
      <w:r w:rsidRPr="005C4965">
        <w:rPr>
          <w:color w:val="000000"/>
          <w:lang w:val="ru-RU"/>
        </w:rPr>
        <w:t xml:space="preserve"> в законную силу решения суда. 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67" w:name="z2373"/>
      <w:bookmarkEnd w:id="66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6. Неисполнение в установленный срок уведомления об устранении нарушений, выявленных налоговыми органами по результатам камерального контроля, влечет приостановление расходных операций по банковским счетам налогоплательщика в соответствии со статьей 118 настоящего Кодекса.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68" w:name="z2374"/>
      <w:bookmarkEnd w:id="67"/>
      <w:r w:rsidRPr="005C4965">
        <w:rPr>
          <w:color w:val="000000"/>
          <w:lang w:val="ru-RU"/>
        </w:rPr>
        <w:t xml:space="preserve"> </w:t>
      </w:r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7. По результатам камерального контроля, проводимого в соответствии с пунктом 6 статьи 59 и пунктом 7 статьи 66 настоящего Кодекса, налоговый орган составляет заключение по форме, установленной уполномоченным органом.</w:t>
      </w:r>
    </w:p>
    <w:p w:rsidR="005C4965" w:rsidRPr="005C4965" w:rsidRDefault="005C4965" w:rsidP="005C4965">
      <w:pPr>
        <w:spacing w:after="0"/>
        <w:jc w:val="both"/>
        <w:rPr>
          <w:lang w:val="ru-RU"/>
        </w:rPr>
      </w:pPr>
      <w:bookmarkStart w:id="69" w:name="z2375"/>
      <w:bookmarkEnd w:id="68"/>
      <w:r w:rsidRPr="005C4965">
        <w:rPr>
          <w:color w:val="000000"/>
        </w:rPr>
        <w:t>     </w:t>
      </w:r>
      <w:r w:rsidRPr="005C4965">
        <w:rPr>
          <w:color w:val="000000"/>
          <w:lang w:val="ru-RU"/>
        </w:rPr>
        <w:t xml:space="preserve"> При этом датой завершения камерального контроля является дата составления заключения, указанного в настоящем пункте.</w:t>
      </w:r>
    </w:p>
    <w:bookmarkEnd w:id="69"/>
    <w:p w:rsidR="001F54AB" w:rsidRPr="005C4965" w:rsidRDefault="005C4965" w:rsidP="005C4965">
      <w:pPr>
        <w:rPr>
          <w:lang w:val="ru-RU"/>
        </w:rPr>
      </w:pPr>
      <w:r w:rsidRPr="005C4965">
        <w:rPr>
          <w:color w:val="FF0000"/>
        </w:rPr>
        <w:t>     </w:t>
      </w:r>
      <w:r w:rsidRPr="005C4965">
        <w:rPr>
          <w:color w:val="FF0000"/>
          <w:lang w:val="ru-RU"/>
        </w:rPr>
        <w:t xml:space="preserve"> Сноска. Статья 96 с изменениями, внесенными Законом РК от 02.04.2019 </w:t>
      </w:r>
      <w:r w:rsidRPr="005C4965">
        <w:rPr>
          <w:color w:val="000000"/>
          <w:lang w:val="ru-RU"/>
        </w:rPr>
        <w:t>№ 241-</w:t>
      </w:r>
      <w:r w:rsidRPr="005C4965">
        <w:rPr>
          <w:color w:val="000000"/>
        </w:rPr>
        <w:t>VI</w:t>
      </w:r>
      <w:r w:rsidRPr="005C4965">
        <w:rPr>
          <w:color w:val="FF0000"/>
          <w:lang w:val="ru-RU"/>
        </w:rPr>
        <w:t xml:space="preserve"> (вводится в действие с 01.01.2020).</w:t>
      </w:r>
      <w:r w:rsidRPr="005C4965">
        <w:rPr>
          <w:lang w:val="ru-RU"/>
        </w:rPr>
        <w:br/>
      </w:r>
    </w:p>
    <w:sectPr w:rsidR="001F54AB" w:rsidRPr="005C4965" w:rsidSect="005C4965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1F"/>
    <w:rsid w:val="004E514F"/>
    <w:rsid w:val="00542E1F"/>
    <w:rsid w:val="005C4965"/>
    <w:rsid w:val="00AC0723"/>
    <w:rsid w:val="00C2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6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6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d_ermekuly</dc:creator>
  <cp:keywords/>
  <dc:description/>
  <cp:lastModifiedBy>d_ermekuly</cp:lastModifiedBy>
  <cp:revision>3</cp:revision>
  <dcterms:created xsi:type="dcterms:W3CDTF">2020-09-09T05:44:00Z</dcterms:created>
  <dcterms:modified xsi:type="dcterms:W3CDTF">2020-09-09T05:52:00Z</dcterms:modified>
</cp:coreProperties>
</file>