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740500" w:rsidTr="00740500">
        <w:tblPrEx>
          <w:tblCellMar>
            <w:top w:w="0" w:type="dxa"/>
            <w:bottom w:w="0" w:type="dxa"/>
          </w:tblCellMar>
        </w:tblPrEx>
        <w:tc>
          <w:tcPr>
            <w:tcW w:w="9854" w:type="dxa"/>
            <w:shd w:val="clear" w:color="auto" w:fill="auto"/>
          </w:tcPr>
          <w:p w:rsidR="00740500" w:rsidRDefault="00740500"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19.01.2021-ғы № МКБ-К-МКБ-06-02/65 шығыс хаты</w:t>
            </w:r>
          </w:p>
          <w:p w:rsidR="00740500" w:rsidRPr="00740500" w:rsidRDefault="00740500"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19.01.2021-ғы № 1347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w:t>
      </w:r>
      <w:r w:rsidR="009D7979" w:rsidRPr="006C7175">
        <w:rPr>
          <w:rFonts w:ascii="KZ Times New Roman" w:hAnsi="KZ Times New Roman"/>
          <w:sz w:val="28"/>
          <w:szCs w:val="28"/>
          <w:lang w:val="kk-KZ"/>
        </w:rPr>
        <w:lastRenderedPageBreak/>
        <w:t xml:space="preserve">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EF0D02" w:rsidRPr="00441E04" w:rsidRDefault="009D6A13" w:rsidP="00EF0D02">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t>2</w:t>
      </w:r>
      <w:r>
        <w:rPr>
          <w:rFonts w:ascii="Times New Roman" w:hAnsi="Times New Roman"/>
          <w:sz w:val="28"/>
          <w:szCs w:val="28"/>
          <w:lang w:val="kk-KZ"/>
        </w:rPr>
        <w:t>.</w:t>
      </w:r>
      <w:r w:rsidR="00EF0D02" w:rsidRPr="00EF0D02">
        <w:rPr>
          <w:rFonts w:ascii="Times New Roman" w:hAnsi="Times New Roman" w:cs="Times New Roman"/>
          <w:b/>
          <w:sz w:val="28"/>
          <w:szCs w:val="28"/>
          <w:lang w:val="kk-KZ"/>
        </w:rPr>
        <w:t xml:space="preserve"> </w:t>
      </w:r>
      <w:r w:rsidR="00EF0D02" w:rsidRPr="00441E04">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EF0D02" w:rsidRPr="00441E04" w:rsidRDefault="00EF0D02" w:rsidP="00EF0D02">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615FC" w:rsidRDefault="00EF0D02" w:rsidP="002615FC">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FE3D39" w:rsidRDefault="00FE3D39" w:rsidP="00FE3D39">
      <w:pPr>
        <w:autoSpaceDE w:val="0"/>
        <w:autoSpaceDN w:val="0"/>
        <w:adjustRightInd w:val="0"/>
        <w:spacing w:after="0" w:line="240" w:lineRule="auto"/>
        <w:ind w:left="360"/>
        <w:jc w:val="both"/>
        <w:rPr>
          <w:rFonts w:ascii="Times New Roman" w:eastAsia="Times New Roman" w:hAnsi="Times New Roman" w:cs="Times New Roman"/>
          <w:sz w:val="28"/>
          <w:szCs w:val="28"/>
          <w:lang w:val="kk-KZ" w:eastAsia="ar-SA"/>
        </w:rPr>
      </w:pPr>
    </w:p>
    <w:p w:rsidR="00FE3D39" w:rsidRPr="00FE3D39" w:rsidRDefault="005A1484" w:rsidP="00FE3D39">
      <w:pPr>
        <w:autoSpaceDE w:val="0"/>
        <w:autoSpaceDN w:val="0"/>
        <w:adjustRightInd w:val="0"/>
        <w:spacing w:after="0" w:line="240" w:lineRule="auto"/>
        <w:ind w:left="360"/>
        <w:jc w:val="both"/>
        <w:rPr>
          <w:rFonts w:ascii="Times New Roman" w:hAnsi="Times New Roman"/>
          <w:b/>
          <w:bCs/>
          <w:sz w:val="28"/>
          <w:szCs w:val="28"/>
          <w:lang w:val="kk-KZ" w:eastAsia="ru-RU"/>
        </w:rPr>
      </w:pPr>
      <w:r w:rsidRPr="00FE3D39">
        <w:rPr>
          <w:rFonts w:ascii="Times New Roman" w:hAnsi="Times New Roman" w:cs="Times New Roman"/>
          <w:b/>
          <w:sz w:val="28"/>
          <w:szCs w:val="28"/>
          <w:lang w:val="kk-KZ"/>
        </w:rPr>
        <w:t>3</w:t>
      </w:r>
      <w:r w:rsidRPr="00FE3D39">
        <w:rPr>
          <w:sz w:val="28"/>
          <w:szCs w:val="28"/>
          <w:lang w:val="kk-KZ"/>
        </w:rPr>
        <w:t>.</w:t>
      </w:r>
      <w:r w:rsidR="002615FC" w:rsidRPr="00FE3D39">
        <w:rPr>
          <w:b/>
          <w:bCs/>
          <w:sz w:val="28"/>
          <w:szCs w:val="28"/>
          <w:lang w:val="kk-KZ" w:eastAsia="ru-RU"/>
        </w:rPr>
        <w:t xml:space="preserve"> </w:t>
      </w:r>
      <w:r w:rsidR="00FE3D39" w:rsidRPr="00FE3D39">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FE3D39" w:rsidRPr="00FE3D39">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FE3D39" w:rsidRPr="00FE3D39">
        <w:rPr>
          <w:rFonts w:ascii="Times New Roman" w:hAnsi="Times New Roman"/>
          <w:b/>
          <w:bCs/>
          <w:sz w:val="28"/>
          <w:szCs w:val="28"/>
          <w:lang w:val="kk-KZ" w:eastAsia="ru-RU"/>
        </w:rPr>
        <w:t xml:space="preserve"> бөлімінің бас маманы (С-R-4 санаты)  1 бірлік.</w:t>
      </w:r>
    </w:p>
    <w:p w:rsidR="00FE3D39" w:rsidRDefault="00FE3D39" w:rsidP="00FE3D39">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E3D39" w:rsidRDefault="00FE3D39" w:rsidP="00FE3D39">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w:t>
      </w:r>
      <w:r>
        <w:rPr>
          <w:rFonts w:ascii="KZ Times New Roman" w:hAnsi="KZ Times New Roman"/>
          <w:sz w:val="28"/>
          <w:szCs w:val="28"/>
          <w:lang w:val="kk-KZ"/>
        </w:rPr>
        <w:lastRenderedPageBreak/>
        <w:t>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hyperlink r:id="rId9"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w:t>
      </w:r>
      <w:r>
        <w:rPr>
          <w:rFonts w:ascii="Times New Roman" w:hAnsi="Times New Roman" w:cs="Times New Roman"/>
          <w:sz w:val="28"/>
          <w:szCs w:val="28"/>
          <w:lang w:val="kk-KZ"/>
        </w:rPr>
        <w:lastRenderedPageBreak/>
        <w:t xml:space="preserve">телефоны 8(72536) 3-48-62, факс 3-27-52, электронды мекен-жайы: </w:t>
      </w:r>
      <w:hyperlink r:id="rId10"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1"/>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48" w:rsidRDefault="00723748" w:rsidP="00740500">
      <w:pPr>
        <w:spacing w:after="0" w:line="240" w:lineRule="auto"/>
      </w:pPr>
      <w:r>
        <w:separator/>
      </w:r>
    </w:p>
  </w:endnote>
  <w:endnote w:type="continuationSeparator" w:id="0">
    <w:p w:rsidR="00723748" w:rsidRDefault="00723748" w:rsidP="0074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48" w:rsidRDefault="00723748" w:rsidP="00740500">
      <w:pPr>
        <w:spacing w:after="0" w:line="240" w:lineRule="auto"/>
      </w:pPr>
      <w:r>
        <w:separator/>
      </w:r>
    </w:p>
  </w:footnote>
  <w:footnote w:type="continuationSeparator" w:id="0">
    <w:p w:rsidR="00723748" w:rsidRDefault="00723748" w:rsidP="0074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00" w:rsidRDefault="00DD1D7D">
    <w:pPr>
      <w:pStyle w:val="aa"/>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500" w:rsidRPr="00740500" w:rsidRDefault="00740500">
                          <w:pPr>
                            <w:rPr>
                              <w:rFonts w:ascii="Times New Roman" w:hAnsi="Times New Roman" w:cs="Times New Roman"/>
                              <w:color w:val="0C0000"/>
                              <w:sz w:val="14"/>
                            </w:rPr>
                          </w:pPr>
                          <w:r>
                            <w:rPr>
                              <w:rFonts w:ascii="Times New Roman" w:hAnsi="Times New Roman" w:cs="Times New Roman"/>
                              <w:color w:val="0C0000"/>
                              <w:sz w:val="14"/>
                            </w:rPr>
                            <w:t xml:space="preserve">19.01.2021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740500" w:rsidRPr="00740500" w:rsidRDefault="00740500">
                    <w:pPr>
                      <w:rPr>
                        <w:rFonts w:ascii="Times New Roman" w:hAnsi="Times New Roman" w:cs="Times New Roman"/>
                        <w:color w:val="0C0000"/>
                        <w:sz w:val="14"/>
                      </w:rPr>
                    </w:pPr>
                    <w:r>
                      <w:rPr>
                        <w:rFonts w:ascii="Times New Roman" w:hAnsi="Times New Roman" w:cs="Times New Roman"/>
                        <w:color w:val="0C0000"/>
                        <w:sz w:val="14"/>
                      </w:rPr>
                      <w:t xml:space="preserve">19.01.2021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5E9D"/>
    <w:rsid w:val="00012C89"/>
    <w:rsid w:val="00013117"/>
    <w:rsid w:val="00025FDA"/>
    <w:rsid w:val="00063273"/>
    <w:rsid w:val="00073730"/>
    <w:rsid w:val="00087E27"/>
    <w:rsid w:val="000918CD"/>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3748"/>
    <w:rsid w:val="0072440A"/>
    <w:rsid w:val="007358A4"/>
    <w:rsid w:val="00740500"/>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D1D7D"/>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7405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0500"/>
  </w:style>
  <w:style w:type="paragraph" w:styleId="ac">
    <w:name w:val="footer"/>
    <w:basedOn w:val="a"/>
    <w:link w:val="ad"/>
    <w:uiPriority w:val="99"/>
    <w:unhideWhenUsed/>
    <w:rsid w:val="007405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0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7405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0500"/>
  </w:style>
  <w:style w:type="paragraph" w:styleId="ac">
    <w:name w:val="footer"/>
    <w:basedOn w:val="a"/>
    <w:link w:val="ad"/>
    <w:uiPriority w:val="99"/>
    <w:unhideWhenUsed/>
    <w:rsid w:val="007405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kent@taxsouth.mgd.kz" TargetMode="Externa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d_orynbetov</cp:lastModifiedBy>
  <cp:revision>2</cp:revision>
  <cp:lastPrinted>2019-09-12T10:06:00Z</cp:lastPrinted>
  <dcterms:created xsi:type="dcterms:W3CDTF">2021-01-19T11:51:00Z</dcterms:created>
  <dcterms:modified xsi:type="dcterms:W3CDTF">2021-01-19T11:51:00Z</dcterms:modified>
</cp:coreProperties>
</file>